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0F23" w14:textId="77777777" w:rsidR="00EA13D6" w:rsidRDefault="00EA13D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2AD6DFE2">
            <wp:extent cx="5691686" cy="824411"/>
            <wp:effectExtent l="76200" t="76200" r="150495" b="14097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35" cy="826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1"/>
      </w:tblGrid>
      <w:tr w:rsidR="006B3192" w14:paraId="0C1263FE" w14:textId="77777777" w:rsidTr="002B26CC">
        <w:trPr>
          <w:trHeight w:val="11575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5797A87" w14:textId="77777777" w:rsidR="00637FD1" w:rsidRDefault="00637FD1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0A207ED5" w:rsidR="00F62882" w:rsidRPr="00637FD1" w:rsidRDefault="00316C52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June </w:t>
            </w:r>
            <w:r w:rsidR="00637FD1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>28</w:t>
            </w:r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2017 ** le </w:t>
            </w:r>
            <w:r w:rsidR="00637FD1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>28</w:t>
            </w:r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3A2D31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>juin</w:t>
            </w:r>
            <w:proofErr w:type="spellEnd"/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1FDEC0BA">
                  <wp:extent cx="4634392" cy="940946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224" cy="9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3F9FE5B" w14:textId="77777777" w:rsidR="003337D8" w:rsidRPr="003337D8" w:rsidRDefault="003337D8" w:rsidP="003337D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If you would like to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SUBSCRIBE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to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please provide your name and email address to </w:t>
            </w:r>
            <w:hyperlink r:id="rId13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hyperlink r:id="rId14" w:history="1">
              <w:r w:rsidRPr="003337D8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  If you would like to be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REMOVED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from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.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INSCRIRE</w:t>
            </w:r>
            <w:r w:rsidRPr="003337D8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nous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fournir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6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être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RETIRE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la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liste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distribution 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soumettre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demande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7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  <w:r w:rsidRPr="003337D8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en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indiquant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nom et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>.</w:t>
            </w:r>
          </w:p>
          <w:tbl>
            <w:tblPr>
              <w:tblW w:w="1158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3"/>
              <w:gridCol w:w="7"/>
            </w:tblGrid>
            <w:tr w:rsidR="006B3192" w14:paraId="158F5065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6C164C1F" w14:textId="77777777" w:rsidR="006B3192" w:rsidRDefault="006B3192" w:rsidP="003337D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</w:tcPr>
                <w:p w14:paraId="2E733A46" w14:textId="003E9FE5" w:rsidR="006B3192" w:rsidRDefault="006B3192">
                  <w:pPr>
                    <w:rPr>
                      <w:rFonts w:eastAsia="Times New Roman"/>
                    </w:rPr>
                  </w:pPr>
                  <w:bookmarkStart w:id="1" w:name="397176564top"/>
                  <w:bookmarkEnd w:id="1"/>
                </w:p>
              </w:tc>
            </w:tr>
            <w:tr w:rsidR="006B3192" w14:paraId="051F2EA2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60BF8AD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044FD15A" w14:textId="7D88B754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5A4C2CB4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184CB487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1B650F2" w14:textId="00EE18FE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314F8588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75BD899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9912BF0" w14:textId="4941735B" w:rsidR="006B3192" w:rsidRDefault="006B31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2B26CC">
        <w:trPr>
          <w:trHeight w:val="143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3192" w14:paraId="585309C0" w14:textId="77777777" w:rsidTr="006E0FE1">
        <w:trPr>
          <w:trHeight w:val="14804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A58167" w14:textId="243167E2" w:rsidR="003B7D2D" w:rsidRDefault="006831C9" w:rsidP="006831C9">
            <w:pPr>
              <w:pStyle w:val="Heading3"/>
              <w:ind w:left="1234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6B093E" wp14:editId="0F2E1066">
                  <wp:extent cx="5905699" cy="855410"/>
                  <wp:effectExtent l="76200" t="76200" r="139700" b="160655"/>
                  <wp:docPr id="9" name="Pictur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19" cy="86140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523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7"/>
              <w:gridCol w:w="156"/>
            </w:tblGrid>
            <w:tr w:rsidR="00637FD1" w:rsidRPr="00637FD1" w14:paraId="485EBEDA" w14:textId="77777777" w:rsidTr="00EC1352">
              <w:trPr>
                <w:trHeight w:val="4612"/>
              </w:trPr>
              <w:tc>
                <w:tcPr>
                  <w:tcW w:w="11523" w:type="dxa"/>
                  <w:gridSpan w:val="2"/>
                  <w:tcMar>
                    <w:bottom w:w="60" w:type="nil"/>
                  </w:tcMar>
                </w:tcPr>
                <w:p w14:paraId="1E3A643E" w14:textId="316CEF9A" w:rsidR="00632DF6" w:rsidRPr="00632DF6" w:rsidRDefault="003337D8" w:rsidP="00632DF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637FD1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  <w:t xml:space="preserve"> </w:t>
                  </w:r>
                  <w:r w:rsidR="00685EB2" w:rsidRPr="00637FD1">
                    <w:rPr>
                      <w:rFonts w:ascii="Arial" w:eastAsia="Times New Roman" w:hAnsi="Arial" w:cs="Arial"/>
                      <w:color w:val="FF0000"/>
                      <w:sz w:val="36"/>
                      <w:szCs w:val="36"/>
                    </w:rPr>
                    <w:t xml:space="preserve"> </w:t>
                  </w:r>
                  <w:r w:rsidR="00632DF6" w:rsidRPr="00632DF6"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  <w:t>Dental Assisting</w:t>
                  </w:r>
                </w:p>
                <w:p w14:paraId="2E3EA410" w14:textId="77777777" w:rsidR="00632DF6" w:rsidRPr="00632DF6" w:rsidRDefault="00632DF6" w:rsidP="00AA299B">
                  <w:pPr>
                    <w:widowControl w:val="0"/>
                    <w:autoSpaceDE w:val="0"/>
                    <w:autoSpaceDN w:val="0"/>
                    <w:adjustRightInd w:val="0"/>
                    <w:ind w:left="203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091"/>
                  </w:tblGrid>
                  <w:tr w:rsidR="00632DF6" w14:paraId="132830CA" w14:textId="77777777" w:rsidTr="001C0A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11091" w:type="dxa"/>
                      </w:tcPr>
                      <w:p w14:paraId="45240D8A" w14:textId="77777777" w:rsidR="00632DF6" w:rsidRDefault="00632DF6" w:rsidP="00632D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8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8"/>
                              <w:szCs w:val="28"/>
                              <w:u w:val="single" w:color="0000FF"/>
                              <w:lang w:val="en-US"/>
                            </w:rPr>
                            <w:t>Manitoba government launches review of province's colleges</w:t>
                          </w:r>
                        </w:hyperlink>
                      </w:p>
                    </w:tc>
                  </w:tr>
                  <w:tr w:rsidR="00632DF6" w14:paraId="63C50CFE" w14:textId="77777777" w:rsidTr="001C0A99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"/>
                    </w:trPr>
                    <w:tc>
                      <w:tcPr>
                        <w:tcW w:w="11091" w:type="dxa"/>
                        <w:tcMar>
                          <w:bottom w:w="60" w:type="nil"/>
                        </w:tcMar>
                      </w:tcPr>
                      <w:p w14:paraId="07E47E11" w14:textId="77777777" w:rsidR="00632DF6" w:rsidRDefault="00632DF6" w:rsidP="00632D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19" w:history="1"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  <w:u w:val="single" w:color="0000FF"/>
                              <w:lang w:val="en-US"/>
                            </w:rPr>
                            <w:t>www.cbc.ca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June 25th, 2017</w:t>
                        </w:r>
                      </w:p>
                    </w:tc>
                  </w:tr>
                  <w:tr w:rsidR="00632DF6" w14:paraId="523FD147" w14:textId="77777777" w:rsidTr="001C0A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11091" w:type="dxa"/>
                        <w:tcMar>
                          <w:bottom w:w="60" w:type="nil"/>
                        </w:tcMar>
                      </w:tcPr>
                      <w:p w14:paraId="19905CAB" w14:textId="77777777" w:rsidR="00632DF6" w:rsidRDefault="00632DF6" w:rsidP="00632D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hyperlink r:id="rId20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4E23015E" w14:textId="77777777" w:rsidR="00632DF6" w:rsidRDefault="00632DF6" w:rsidP="00632DF6">
                  <w:pPr>
                    <w:widowControl w:val="0"/>
                    <w:autoSpaceDE w:val="0"/>
                    <w:autoSpaceDN w:val="0"/>
                    <w:adjustRightInd w:val="0"/>
                    <w:ind w:left="203"/>
                    <w:rPr>
                      <w:rFonts w:ascii="Arial" w:eastAsia="Times New Roman" w:hAnsi="Arial" w:cs="Arial"/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14:paraId="5E288451" w14:textId="51F53705" w:rsidR="00551F4E" w:rsidRPr="00632DF6" w:rsidRDefault="003337D8" w:rsidP="00AA299B">
                  <w:pPr>
                    <w:widowControl w:val="0"/>
                    <w:autoSpaceDE w:val="0"/>
                    <w:autoSpaceDN w:val="0"/>
                    <w:adjustRightInd w:val="0"/>
                    <w:ind w:left="203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632DF6"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  <w:t>Oral Health</w:t>
                  </w:r>
                </w:p>
                <w:p w14:paraId="5368FFF3" w14:textId="77777777" w:rsidR="00316C52" w:rsidRPr="00632DF6" w:rsidRDefault="00316C52" w:rsidP="00316C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1304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307"/>
                  </w:tblGrid>
                  <w:tr w:rsidR="00637FD1" w:rsidRPr="00637FD1" w14:paraId="6D65A4D0" w14:textId="77777777" w:rsidTr="001C0A99">
                    <w:trPr>
                      <w:trHeight w:val="3325"/>
                    </w:trPr>
                    <w:tc>
                      <w:tcPr>
                        <w:tcW w:w="11304" w:type="dxa"/>
                        <w:tcMar>
                          <w:bottom w:w="60" w:type="nil"/>
                        </w:tcMar>
                      </w:tcPr>
                      <w:tbl>
                        <w:tblPr>
                          <w:tblW w:w="11091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091"/>
                        </w:tblGrid>
                        <w:tr w:rsidR="00632DF6" w14:paraId="17AF313A" w14:textId="77777777" w:rsidTr="001C0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3"/>
                          </w:trPr>
                          <w:tc>
                            <w:tcPr>
                              <w:tcW w:w="11091" w:type="dxa"/>
                            </w:tcPr>
                            <w:p w14:paraId="2F4C2834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1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8"/>
                                    <w:szCs w:val="28"/>
                                    <w:u w:val="single" w:color="0000FF"/>
                                    <w:lang w:val="en-US"/>
                                  </w:rPr>
                                  <w:t>Low-income dental care essential, says PHU</w:t>
                                </w:r>
                              </w:hyperlink>
                            </w:p>
                          </w:tc>
                        </w:tr>
                        <w:tr w:rsidR="00632DF6" w14:paraId="216A8C24" w14:textId="77777777" w:rsidTr="001C0A99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5"/>
                          </w:trPr>
                          <w:tc>
                            <w:tcPr>
                              <w:tcW w:w="11091" w:type="dxa"/>
                              <w:tcMar>
                                <w:bottom w:w="60" w:type="nil"/>
                              </w:tcMar>
                            </w:tcPr>
                            <w:p w14:paraId="37004BD9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2" w:history="1"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22"/>
                                    <w:szCs w:val="22"/>
                                    <w:u w:val="single" w:color="0000FF"/>
                                    <w:lang w:val="en-US"/>
                                  </w:rPr>
                                  <w:t>www.timminspress.com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 xml:space="preserve"> •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June 25th, 2017</w:t>
                              </w:r>
                            </w:p>
                          </w:tc>
                        </w:tr>
                        <w:tr w:rsidR="00632DF6" w14:paraId="7BE98A81" w14:textId="77777777" w:rsidTr="001C0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5"/>
                          </w:trPr>
                          <w:tc>
                            <w:tcPr>
                              <w:tcW w:w="11091" w:type="dxa"/>
                              <w:tcMar>
                                <w:bottom w:w="60" w:type="nil"/>
                              </w:tcMar>
                            </w:tcPr>
                            <w:p w14:paraId="0F8EFF6C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3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49736083" w14:textId="77777777" w:rsidR="00632DF6" w:rsidRDefault="00632DF6" w:rsidP="00632D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091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091"/>
                        </w:tblGrid>
                        <w:tr w:rsidR="00632DF6" w14:paraId="424ED4E0" w14:textId="77777777" w:rsidTr="001C0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3"/>
                          </w:trPr>
                          <w:tc>
                            <w:tcPr>
                              <w:tcW w:w="11091" w:type="dxa"/>
                            </w:tcPr>
                            <w:p w14:paraId="6A4A5FEC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4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8"/>
                                    <w:szCs w:val="28"/>
                                    <w:u w:val="single" w:color="0000FF"/>
                                    <w:lang w:val="en-US"/>
                                  </w:rPr>
                                  <w:t>Chips are healthier for kids than raisins, dentists say</w:t>
                                </w:r>
                              </w:hyperlink>
                            </w:p>
                          </w:tc>
                        </w:tr>
                        <w:tr w:rsidR="00632DF6" w14:paraId="4A9BC0EA" w14:textId="77777777" w:rsidTr="001C0A99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5"/>
                          </w:trPr>
                          <w:tc>
                            <w:tcPr>
                              <w:tcW w:w="11091" w:type="dxa"/>
                              <w:tcMar>
                                <w:bottom w:w="60" w:type="nil"/>
                              </w:tcMar>
                            </w:tcPr>
                            <w:p w14:paraId="65495DAE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globalnews.ca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 xml:space="preserve"> •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June 25th, 2017</w:t>
                              </w:r>
                            </w:p>
                          </w:tc>
                        </w:tr>
                        <w:tr w:rsidR="00632DF6" w14:paraId="6A13103A" w14:textId="77777777" w:rsidTr="001C0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5"/>
                          </w:trPr>
                          <w:tc>
                            <w:tcPr>
                              <w:tcW w:w="11091" w:type="dxa"/>
                              <w:tcMar>
                                <w:bottom w:w="60" w:type="nil"/>
                              </w:tcMar>
                            </w:tcPr>
                            <w:p w14:paraId="5444AFA4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5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78625F41" w14:textId="77777777" w:rsidR="00632DF6" w:rsidRDefault="00632DF6" w:rsidP="00632D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Helvetica" w:hAnsi="Helvetica" w:cs="Helvetica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091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091"/>
                        </w:tblGrid>
                        <w:tr w:rsidR="00632DF6" w14:paraId="54F6F079" w14:textId="77777777" w:rsidTr="001C0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3"/>
                          </w:trPr>
                          <w:tc>
                            <w:tcPr>
                              <w:tcW w:w="11091" w:type="dxa"/>
                            </w:tcPr>
                            <w:p w14:paraId="70ED26D0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6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8"/>
                                    <w:szCs w:val="28"/>
                                    <w:u w:val="single" w:color="0000FF"/>
                                    <w:lang w:val="en-US"/>
                                  </w:rPr>
                                  <w:t>Providing Dental Care for Special Needs Patients</w:t>
                                </w:r>
                              </w:hyperlink>
                            </w:p>
                          </w:tc>
                        </w:tr>
                        <w:tr w:rsidR="00632DF6" w14:paraId="2547F132" w14:textId="77777777" w:rsidTr="001C0A99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35"/>
                          </w:trPr>
                          <w:tc>
                            <w:tcPr>
                              <w:tcW w:w="11091" w:type="dxa"/>
                              <w:tcMar>
                                <w:bottom w:w="60" w:type="nil"/>
                              </w:tcMar>
                            </w:tcPr>
                            <w:p w14:paraId="207435FD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7" w:history="1"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22"/>
                                    <w:szCs w:val="22"/>
                                    <w:u w:val="single" w:color="0000FF"/>
                                    <w:lang w:val="en-US"/>
                                  </w:rPr>
                                  <w:t>www.oralhealthgroup.com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  <w:t xml:space="preserve"> •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June 25th, 2017</w:t>
                              </w:r>
                            </w:p>
                          </w:tc>
                        </w:tr>
                        <w:tr w:rsidR="00632DF6" w14:paraId="2458122A" w14:textId="77777777" w:rsidTr="001C0A9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6"/>
                          </w:trPr>
                          <w:tc>
                            <w:tcPr>
                              <w:tcW w:w="11091" w:type="dxa"/>
                              <w:tcMar>
                                <w:bottom w:w="60" w:type="nil"/>
                              </w:tcMar>
                            </w:tcPr>
                            <w:p w14:paraId="0D2185C0" w14:textId="77777777" w:rsidR="00632DF6" w:rsidRDefault="00632D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hyperlink r:id="rId28" w:history="1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  <w:p w14:paraId="53FCCD2D" w14:textId="77777777" w:rsidR="00EC1352" w:rsidRDefault="00EC13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2B3237F" w14:textId="33D556D7" w:rsidR="00316C52" w:rsidRPr="00637FD1" w:rsidRDefault="00316C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FF0000"/>
                            <w:lang w:val="en-US"/>
                          </w:rPr>
                        </w:pPr>
                      </w:p>
                    </w:tc>
                  </w:tr>
                </w:tbl>
                <w:p w14:paraId="75C958C0" w14:textId="63D7857A" w:rsidR="00316C52" w:rsidRPr="00637FD1" w:rsidRDefault="00316C52" w:rsidP="00316C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</w:p>
              </w:tc>
            </w:tr>
            <w:tr w:rsidR="00637FD1" w:rsidRPr="00637FD1" w14:paraId="46ACC76A" w14:textId="77777777" w:rsidTr="00EC1352">
              <w:tblPrEx>
                <w:tblBorders>
                  <w:top w:val="nil"/>
                </w:tblBorders>
              </w:tblPrEx>
              <w:trPr>
                <w:gridAfter w:val="1"/>
                <w:wAfter w:w="156" w:type="dxa"/>
                <w:trHeight w:val="391"/>
              </w:trPr>
              <w:tc>
                <w:tcPr>
                  <w:tcW w:w="11367" w:type="dxa"/>
                  <w:tcMar>
                    <w:bottom w:w="60" w:type="nil"/>
                  </w:tcMar>
                </w:tcPr>
                <w:p w14:paraId="0AF72756" w14:textId="59CEA5BC" w:rsidR="00AA299B" w:rsidRPr="00637FD1" w:rsidRDefault="00632DF6" w:rsidP="00AA299B">
                  <w:pPr>
                    <w:widowControl w:val="0"/>
                    <w:autoSpaceDE w:val="0"/>
                    <w:autoSpaceDN w:val="0"/>
                    <w:adjustRightInd w:val="0"/>
                    <w:ind w:left="169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 wp14:anchorId="67B90EBC" wp14:editId="1C4EF913">
                        <wp:extent cx="4374458" cy="75877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D Insurance (EN) Horizontal Logo.png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8587" cy="9277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565C4C" w14:textId="69064AB5" w:rsidR="00632DF6" w:rsidRPr="00AA299B" w:rsidRDefault="00632DF6" w:rsidP="0063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  <w:lang w:val="en-US" w:eastAsia="en-US"/>
              </w:rPr>
              <w:drawing>
                <wp:inline distT="0" distB="0" distL="0" distR="0" wp14:anchorId="5BC3FFC0" wp14:editId="5542A006">
                  <wp:extent cx="644706" cy="731869"/>
                  <wp:effectExtent l="0" t="0" r="0" b="5080"/>
                  <wp:docPr id="5" name="Picture 5" descr="../../../../Users/Admin/Desktop/Screen%20Shot%202017-06-20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Users/Admin/Desktop/Screen%20Shot%202017-06-20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84" cy="75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2C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0A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Travel Insurance </w:t>
            </w:r>
            <w:proofErr w:type="gramStart"/>
            <w:r w:rsidRPr="001C0A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/ </w:t>
            </w:r>
            <w:r w:rsidRPr="001C0A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 Assurance</w:t>
            </w:r>
            <w:proofErr w:type="gramEnd"/>
            <w:r w:rsidRPr="001C0A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voyage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81"/>
            </w:tblGrid>
            <w:tr w:rsidR="00632DF6" w:rsidRPr="00AA299B" w14:paraId="43B8CC0F" w14:textId="77777777" w:rsidTr="001C0A99">
              <w:trPr>
                <w:trHeight w:val="922"/>
              </w:trPr>
              <w:tc>
                <w:tcPr>
                  <w:tcW w:w="1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8D6D" w14:textId="77777777" w:rsidR="00632DF6" w:rsidRPr="00EC1352" w:rsidRDefault="00632DF6" w:rsidP="00685F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FF0000"/>
                      <w:sz w:val="16"/>
                      <w:szCs w:val="16"/>
                      <w:lang w:val="en-US"/>
                    </w:rPr>
                  </w:pPr>
                </w:p>
                <w:p w14:paraId="098162D2" w14:textId="77777777" w:rsidR="00632DF6" w:rsidRPr="001C0A99" w:rsidRDefault="00632DF6" w:rsidP="00685F5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Helvetica" w:hAnsi="Helvetica" w:cs="Helvetica"/>
                      <w:color w:val="FF0000"/>
                      <w:sz w:val="22"/>
                      <w:szCs w:val="22"/>
                      <w:lang w:val="en-US"/>
                    </w:rPr>
                  </w:pPr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Learn more about comprehensive and affordable travel insurance with the @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TD_Insurance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Wide Horizons Solution Travel Insurance Program </w:t>
                  </w:r>
                  <w:r w:rsidRPr="001C0A99">
                    <w:rPr>
                      <w:rFonts w:ascii="MS Mincho" w:eastAsia="MS Mincho" w:hAnsi="MS Mincho" w:cs="MS Mincho"/>
                      <w:color w:val="000000" w:themeColor="text1"/>
                      <w:sz w:val="22"/>
                      <w:szCs w:val="22"/>
                      <w:lang w:val="en-US"/>
                    </w:rPr>
                    <w:t>►</w:t>
                  </w:r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31" w:history="1">
                    <w:r w:rsidRPr="001C0A99">
                      <w:rPr>
                        <w:rStyle w:val="Hyperlink"/>
                        <w:rFonts w:ascii="Helvetica" w:hAnsi="Helvetica" w:cs="Helvetica"/>
                        <w:b/>
                        <w:sz w:val="22"/>
                        <w:szCs w:val="22"/>
                        <w:lang w:val="en-US"/>
                      </w:rPr>
                      <w:t>https://go.td.com/2s0B8xy</w:t>
                    </w:r>
                  </w:hyperlink>
                </w:p>
              </w:tc>
            </w:tr>
            <w:tr w:rsidR="00632DF6" w:rsidRPr="00AA299B" w14:paraId="48E08976" w14:textId="77777777" w:rsidTr="00685F50">
              <w:trPr>
                <w:trHeight w:val="838"/>
              </w:trPr>
              <w:tc>
                <w:tcPr>
                  <w:tcW w:w="1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9634" w14:textId="77777777" w:rsidR="00632DF6" w:rsidRPr="001C0A99" w:rsidRDefault="00632DF6" w:rsidP="00685F5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Style w:val="Hyperlink"/>
                      <w:rFonts w:ascii="Helvetica" w:hAnsi="Helvetica" w:cs="Helvetica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Renseignez-vous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sur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l’assurance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voyage 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complète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et 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abordable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Solution sans 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frontières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@</w:t>
                  </w:r>
                  <w:proofErr w:type="spellStart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>TD_Assurance</w:t>
                  </w:r>
                  <w:proofErr w:type="spellEnd"/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C0A99">
                    <w:rPr>
                      <w:rFonts w:ascii="MS Mincho" w:eastAsia="MS Mincho" w:hAnsi="MS Mincho" w:cs="MS Mincho"/>
                      <w:color w:val="000000" w:themeColor="text1"/>
                      <w:sz w:val="22"/>
                      <w:szCs w:val="22"/>
                      <w:lang w:val="en-US"/>
                    </w:rPr>
                    <w:t>►</w:t>
                  </w:r>
                  <w:r w:rsidRPr="001C0A99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32" w:history="1">
                    <w:r w:rsidRPr="001C0A99">
                      <w:rPr>
                        <w:rStyle w:val="Hyperlink"/>
                        <w:rFonts w:ascii="Helvetica" w:hAnsi="Helvetica" w:cs="Helvetica"/>
                        <w:b/>
                        <w:sz w:val="22"/>
                        <w:szCs w:val="22"/>
                        <w:lang w:val="en-US"/>
                      </w:rPr>
                      <w:t>https://go.td.com/2s0zhIT</w:t>
                    </w:r>
                  </w:hyperlink>
                </w:p>
                <w:p w14:paraId="7C404694" w14:textId="77777777" w:rsidR="00632DF6" w:rsidRPr="00AA299B" w:rsidRDefault="00632DF6" w:rsidP="00685F5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Helvetica" w:hAnsi="Helvetica" w:cs="Helvetica"/>
                      <w:b/>
                      <w:bCs/>
                      <w:color w:val="FF0000"/>
                      <w:lang w:val="en-US"/>
                    </w:rPr>
                  </w:pPr>
                </w:p>
              </w:tc>
            </w:tr>
          </w:tbl>
          <w:p w14:paraId="63CF6AD9" w14:textId="77777777" w:rsidR="00632DF6" w:rsidRDefault="00632DF6" w:rsidP="00632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6A5">
              <w:rPr>
                <w:noProof/>
                <w:lang w:val="en-US" w:eastAsia="en-US"/>
              </w:rPr>
              <w:drawing>
                <wp:inline distT="0" distB="0" distL="0" distR="0" wp14:anchorId="44DAD795" wp14:editId="1A8D5662">
                  <wp:extent cx="3551192" cy="372714"/>
                  <wp:effectExtent l="0" t="0" r="5080" b="8890"/>
                  <wp:docPr id="7" name="Picture 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797" cy="3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43041D" wp14:editId="51019AFC">
                  <wp:extent cx="3551192" cy="372728"/>
                  <wp:effectExtent l="0" t="0" r="5080" b="8890"/>
                  <wp:docPr id="8" name="Picture 8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152" cy="38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37FC8" w14:textId="77777777" w:rsidR="00EC1352" w:rsidRDefault="00EC1352" w:rsidP="00632DF6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278E5529" w14:textId="77777777" w:rsidR="00EA13D6" w:rsidRDefault="00EA13D6" w:rsidP="006E0FE1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1A65DA7E" w14:textId="77777777" w:rsidR="00EA13D6" w:rsidRDefault="006E0FE1" w:rsidP="006E0FE1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</w:rPr>
            </w:pPr>
            <w:r>
              <w:rPr>
                <w:rStyle w:val="Strong"/>
                <w:color w:val="0000CD"/>
                <w:sz w:val="16"/>
                <w:szCs w:val="16"/>
                <w:u w:val="single"/>
              </w:rPr>
              <w:t>D</w:t>
            </w:r>
            <w:r w:rsidRPr="001C0A99">
              <w:rPr>
                <w:rStyle w:val="Strong"/>
                <w:color w:val="0000CD"/>
                <w:sz w:val="16"/>
                <w:szCs w:val="16"/>
                <w:u w:val="single"/>
              </w:rPr>
              <w:t>ISCLAIMER</w:t>
            </w:r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: Articles and advertisements, as well as their claims, do not necessarily represent the viewpoints/opinions of the Canadian Dental Assistants’ Association (CDAA). The CDAA is not responsible for grammatical errors, misspelled words, unclear syntax or errors in translations, in original sources.  </w:t>
            </w:r>
          </w:p>
          <w:p w14:paraId="33D4C97F" w14:textId="507BCA05" w:rsidR="006E0FE1" w:rsidRDefault="006E0FE1" w:rsidP="006E0FE1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</w:rPr>
            </w:pPr>
            <w:r w:rsidRPr="001C0A99">
              <w:rPr>
                <w:rStyle w:val="Strong"/>
                <w:color w:val="0000CD"/>
                <w:sz w:val="16"/>
                <w:szCs w:val="16"/>
                <w:u w:val="single"/>
              </w:rPr>
              <w:t>AVIS DE NON-RESPONSABILITÉ:</w:t>
            </w:r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Les articles et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annonces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,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ainsi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que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leurs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revendications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, ne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représentent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pas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nécessairement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les points de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vue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/ opinions de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l'Association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canadienne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des assistant(e)s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dentaires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(ACAD). L’ACAD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n'est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pas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responsable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des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erreurs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grammaticales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, des mots mal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orthographiés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, de la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syntaxe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imprécise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ou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des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erreurs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dans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les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traductions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,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dans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 xml:space="preserve"> les sources </w:t>
            </w:r>
            <w:proofErr w:type="spellStart"/>
            <w:r w:rsidRPr="001C0A99">
              <w:rPr>
                <w:rStyle w:val="Strong"/>
                <w:color w:val="0000CD"/>
                <w:sz w:val="16"/>
                <w:szCs w:val="16"/>
              </w:rPr>
              <w:t>originales</w:t>
            </w:r>
            <w:proofErr w:type="spellEnd"/>
            <w:r w:rsidRPr="001C0A99">
              <w:rPr>
                <w:rStyle w:val="Strong"/>
                <w:color w:val="0000CD"/>
                <w:sz w:val="16"/>
                <w:szCs w:val="16"/>
              </w:rPr>
              <w:t>.</w:t>
            </w:r>
          </w:p>
          <w:p w14:paraId="58769586" w14:textId="77777777" w:rsidR="006B3192" w:rsidRDefault="006B3192" w:rsidP="006E0FE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D6E3FB" w14:textId="77777777" w:rsidR="00551F4E" w:rsidRDefault="00551F4E" w:rsidP="00C262CC">
      <w:pPr>
        <w:pStyle w:val="Default"/>
        <w:ind w:hanging="709"/>
        <w:rPr>
          <w:rFonts w:ascii="Arial" w:hAnsi="Arial" w:cs="Arial"/>
          <w:b/>
          <w:bCs/>
          <w:color w:val="262626"/>
          <w:sz w:val="18"/>
          <w:szCs w:val="18"/>
        </w:rPr>
      </w:pPr>
    </w:p>
    <w:sectPr w:rsidR="00551F4E" w:rsidSect="006E0FE1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3E2"/>
    <w:multiLevelType w:val="hybridMultilevel"/>
    <w:tmpl w:val="15D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8C"/>
    <w:multiLevelType w:val="hybridMultilevel"/>
    <w:tmpl w:val="D840B0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154877"/>
    <w:rsid w:val="001B571E"/>
    <w:rsid w:val="001C0A99"/>
    <w:rsid w:val="001D669B"/>
    <w:rsid w:val="001D769A"/>
    <w:rsid w:val="002B26CC"/>
    <w:rsid w:val="002C5C51"/>
    <w:rsid w:val="00316C52"/>
    <w:rsid w:val="003337D8"/>
    <w:rsid w:val="0038279D"/>
    <w:rsid w:val="003A25A1"/>
    <w:rsid w:val="003A27C1"/>
    <w:rsid w:val="003A2D31"/>
    <w:rsid w:val="003B7D2D"/>
    <w:rsid w:val="00411AD9"/>
    <w:rsid w:val="004B0E4A"/>
    <w:rsid w:val="004B46E6"/>
    <w:rsid w:val="004F365F"/>
    <w:rsid w:val="0053085A"/>
    <w:rsid w:val="005334E6"/>
    <w:rsid w:val="00551F4E"/>
    <w:rsid w:val="0055707C"/>
    <w:rsid w:val="00593DF9"/>
    <w:rsid w:val="005C06B8"/>
    <w:rsid w:val="005C2D78"/>
    <w:rsid w:val="005C5781"/>
    <w:rsid w:val="00632DF6"/>
    <w:rsid w:val="00637FD1"/>
    <w:rsid w:val="006452CB"/>
    <w:rsid w:val="00677456"/>
    <w:rsid w:val="0068038D"/>
    <w:rsid w:val="006831C9"/>
    <w:rsid w:val="006844F2"/>
    <w:rsid w:val="00685EB2"/>
    <w:rsid w:val="006B3192"/>
    <w:rsid w:val="006E0FE1"/>
    <w:rsid w:val="00764C24"/>
    <w:rsid w:val="007D57C5"/>
    <w:rsid w:val="0082207B"/>
    <w:rsid w:val="00823520"/>
    <w:rsid w:val="00857E5E"/>
    <w:rsid w:val="00870924"/>
    <w:rsid w:val="008A6258"/>
    <w:rsid w:val="008B0EB6"/>
    <w:rsid w:val="008D06AE"/>
    <w:rsid w:val="008E319E"/>
    <w:rsid w:val="008E5F26"/>
    <w:rsid w:val="008F494D"/>
    <w:rsid w:val="009445A3"/>
    <w:rsid w:val="00951E07"/>
    <w:rsid w:val="00960511"/>
    <w:rsid w:val="00967118"/>
    <w:rsid w:val="009A0788"/>
    <w:rsid w:val="009D178E"/>
    <w:rsid w:val="009D554B"/>
    <w:rsid w:val="009E20B0"/>
    <w:rsid w:val="009E5997"/>
    <w:rsid w:val="00A04606"/>
    <w:rsid w:val="00A21258"/>
    <w:rsid w:val="00A22373"/>
    <w:rsid w:val="00A32B2E"/>
    <w:rsid w:val="00A37F49"/>
    <w:rsid w:val="00A845B8"/>
    <w:rsid w:val="00AA10A5"/>
    <w:rsid w:val="00AA299B"/>
    <w:rsid w:val="00AE4EF6"/>
    <w:rsid w:val="00B05AC9"/>
    <w:rsid w:val="00B30849"/>
    <w:rsid w:val="00B432D4"/>
    <w:rsid w:val="00B530B7"/>
    <w:rsid w:val="00B551B2"/>
    <w:rsid w:val="00B60ABA"/>
    <w:rsid w:val="00B73B31"/>
    <w:rsid w:val="00BE5D95"/>
    <w:rsid w:val="00BF79D8"/>
    <w:rsid w:val="00C262CC"/>
    <w:rsid w:val="00C30DE2"/>
    <w:rsid w:val="00CB0293"/>
    <w:rsid w:val="00CB2B17"/>
    <w:rsid w:val="00D22078"/>
    <w:rsid w:val="00D25AE8"/>
    <w:rsid w:val="00D32A9A"/>
    <w:rsid w:val="00D35169"/>
    <w:rsid w:val="00D36737"/>
    <w:rsid w:val="00D6420C"/>
    <w:rsid w:val="00E0001D"/>
    <w:rsid w:val="00E13CC0"/>
    <w:rsid w:val="00E14AB5"/>
    <w:rsid w:val="00E42C33"/>
    <w:rsid w:val="00E47AAC"/>
    <w:rsid w:val="00E642A3"/>
    <w:rsid w:val="00E93896"/>
    <w:rsid w:val="00EA13D6"/>
    <w:rsid w:val="00EC1352"/>
    <w:rsid w:val="00ED118E"/>
    <w:rsid w:val="00ED223E"/>
    <w:rsid w:val="00ED28D3"/>
    <w:rsid w:val="00EE14D8"/>
    <w:rsid w:val="00EF59FC"/>
    <w:rsid w:val="00F260CE"/>
    <w:rsid w:val="00F32FFF"/>
    <w:rsid w:val="00F4244D"/>
    <w:rsid w:val="00F62882"/>
    <w:rsid w:val="00F63DCB"/>
    <w:rsid w:val="00FA0B17"/>
    <w:rsid w:val="00FA0BA8"/>
    <w:rsid w:val="00FA0CF4"/>
    <w:rsid w:val="00FC3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cbc.ca?p=eyJzIjoib0xIZDVmSU1IUGVwWjlIZ29WcnRPaXFRRkxjIiwidiI6MSwicCI6IntcInVcIjozMDgyMjM0MyxcInZcIjoxLFwidXJsXCI6XCJodHRwOlxcXC9cXFwvd3d3LmNiYy5jYVxcXC9uZXdzXFxcL2NhbmFkYVxcXC9tYW5pdG9iYVxcXC9jb2xsZWdlLXJldmlldy1tYW5pdG9iYS0xLjQxNjg1MjU_Y21wPXJzc1wiLFwiaWRcIjpcImZjYzY2MDI2MmZkYTRmMDRhMjZkZDdiMmE0ZjgwODFjXCIsXCJ1cmxfaWRzXCI6W1wiOGU5M2Y4ZTFiZWVkMWM3YTcyNzM5M2E4YWQ1ZjAzOWFjMTkwZjdkZFwiXX0ifQ" TargetMode="External"/><Relationship Id="rId21" Type="http://schemas.openxmlformats.org/officeDocument/2006/relationships/hyperlink" Target="https://mandrillapp.com/track/click/30822343/www.timminspress.com?p=eyJzIjoiSmplWVR2RTFxMjEzYmFVZmoxTUVqeVN1MVUwIiwidiI6MSwicCI6IntcInVcIjozMDgyMjM0MyxcInZcIjoxLFwidXJsXCI6XCJodHRwOlxcXC9cXFwvd3d3LnRpbW1pbnNwcmVzcy5jb21cXFwvMjAxN1xcXC8wNlxcXC8yM1xcXC9sb3ctaW5jb21lLWRlbnRhbC1wbGFuLW5lZWRzLXRvLWNvbWUtc29vbmVyLXNheXMtcGh1XCIsXCJpZFwiOlwiZmNjNjYwMjYyZmRhNGYwNGEyNmRkN2IyYTRmODA4MWNcIixcInVybF9pZHNcIjpbXCI4MmYzZjYxODJkNDIzYjc2YTg2NGY1MzJhOGY5ZDNhNWIwZmExZjZjXCJdfSJ9" TargetMode="External"/><Relationship Id="rId22" Type="http://schemas.openxmlformats.org/officeDocument/2006/relationships/hyperlink" Target="http://www.timminspress.com/" TargetMode="External"/><Relationship Id="rId23" Type="http://schemas.openxmlformats.org/officeDocument/2006/relationships/hyperlink" Target="https://mandrillapp.com/track/click/30822343/www.timminspress.com?p=eyJzIjoiSmplWVR2RTFxMjEzYmFVZmoxTUVqeVN1MVUwIiwidiI6MSwicCI6IntcInVcIjozMDgyMjM0MyxcInZcIjoxLFwidXJsXCI6XCJodHRwOlxcXC9cXFwvd3d3LnRpbW1pbnNwcmVzcy5jb21cXFwvMjAxN1xcXC8wNlxcXC8yM1xcXC9sb3ctaW5jb21lLWRlbnRhbC1wbGFuLW5lZWRzLXRvLWNvbWUtc29vbmVyLXNheXMtcGh1XCIsXCJpZFwiOlwiZmNjNjYwMjYyZmRhNGYwNGEyNmRkN2IyYTRmODA4MWNcIixcInVybF9pZHNcIjpbXCI4MmYzZjYxODJkNDIzYjc2YTg2NGY1MzJhOGY5ZDNhNWIwZmExZjZjXCJdfSJ9" TargetMode="External"/><Relationship Id="rId24" Type="http://schemas.openxmlformats.org/officeDocument/2006/relationships/hyperlink" Target="https://mandrillapp.com/track/click/30822343/globalnews.ca?p=eyJzIjoiSmljOUZ0M09uWmkzXzI2aU5YVTdPMU1QN1J3IiwidiI6MSwicCI6IntcInVcIjozMDgyMjM0MyxcInZcIjoxLFwidXJsXCI6XCJodHRwOlxcXC9cXFwvZ2xvYmFsbmV3cy5jYVxcXC9uZXdzXFxcLzM1NDI2MTJcXFwvY2hpcHMtYXJlLWhlYWx0aGllci1mb3Ita2lkcy10aGFuLXJhaXNpbnMtZGVudGlzdHMtc2F5XFxcL1wiLFwiaWRcIjpcImZjYzY2MDI2MmZkYTRmMDRhMjZkZDdiMmE0ZjgwODFjXCIsXCJ1cmxfaWRzXCI6W1wiOWQyNzFkOWU5YTgxMDMwNTkyOThhOWZmNGZmMzMzMjE1YTdjOTBhMVwiXX0ifQ" TargetMode="External"/><Relationship Id="rId25" Type="http://schemas.openxmlformats.org/officeDocument/2006/relationships/hyperlink" Target="https://mandrillapp.com/track/click/30822343/globalnews.ca?p=eyJzIjoiSmljOUZ0M09uWmkzXzI2aU5YVTdPMU1QN1J3IiwidiI6MSwicCI6IntcInVcIjozMDgyMjM0MyxcInZcIjoxLFwidXJsXCI6XCJodHRwOlxcXC9cXFwvZ2xvYmFsbmV3cy5jYVxcXC9uZXdzXFxcLzM1NDI2MTJcXFwvY2hpcHMtYXJlLWhlYWx0aGllci1mb3Ita2lkcy10aGFuLXJhaXNpbnMtZGVudGlzdHMtc2F5XFxcL1wiLFwiaWRcIjpcImZjYzY2MDI2MmZkYTRmMDRhMjZkZDdiMmE0ZjgwODFjXCIsXCJ1cmxfaWRzXCI6W1wiOWQyNzFkOWU5YTgxMDMwNTkyOThhOWZmNGZmMzMzMjE1YTdjOTBhMVwiXX0ifQ" TargetMode="External"/><Relationship Id="rId26" Type="http://schemas.openxmlformats.org/officeDocument/2006/relationships/hyperlink" Target="https://mandrillapp.com/track/click/30822343/www.oralhealthgroup.com?p=eyJzIjoiMFUzbDRKWWxEdjFmUnNjcmctVEhYN3dfYWdRIiwidiI6MSwicCI6IntcInVcIjozMDgyMjM0MyxcInZcIjoxLFwidXJsXCI6XCJodHRwOlxcXC9cXFwvd3d3Lm9yYWxoZWFsdGhncm91cC5jb21cXFwvYmxvZ3NcXFwvcHJvdmlkaW5nLWRlbnRhbC1jYXJlLXNwZWNpYWwtbmVlZHMtcGF0aWVudHNcXFwvXCIsXCJpZFwiOlwiZmNjNjYwMjYyZmRhNGYwNGEyNmRkN2IyYTRmODA4MWNcIixcInVybF9pZHNcIjpbXCI1ZmYxZThjMzA5YjQ5NGFlMzBjMjNiMDhiOTgzMmYxMzJjMjM2NGViXCJdfSJ9" TargetMode="External"/><Relationship Id="rId27" Type="http://schemas.openxmlformats.org/officeDocument/2006/relationships/hyperlink" Target="http://www.oralhealthgroup.com/" TargetMode="External"/><Relationship Id="rId28" Type="http://schemas.openxmlformats.org/officeDocument/2006/relationships/hyperlink" Target="https://mandrillapp.com/track/click/30822343/www.oralhealthgroup.com?p=eyJzIjoiMFUzbDRKWWxEdjFmUnNjcmctVEhYN3dfYWdRIiwidiI6MSwicCI6IntcInVcIjozMDgyMjM0MyxcInZcIjoxLFwidXJsXCI6XCJodHRwOlxcXC9cXFwvd3d3Lm9yYWxoZWFsdGhncm91cC5jb21cXFwvYmxvZ3NcXFwvcHJvdmlkaW5nLWRlbnRhbC1jYXJlLXNwZWNpYWwtbmVlZHMtcGF0aWVudHNcXFwvXCIsXCJpZFwiOlwiZmNjNjYwMjYyZmRhNGYwNGEyNmRkN2IyYTRmODA4MWNcIixcInVybF9pZHNcIjpbXCI1ZmYxZThjMzA5YjQ5NGFlMzBjMjNiMDhiOTgzMmYxMzJjMjM2NGViXCJdfSJ9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6.png"/><Relationship Id="rId31" Type="http://schemas.openxmlformats.org/officeDocument/2006/relationships/hyperlink" Target="https://go.td.com/2s0B8xy" TargetMode="External"/><Relationship Id="rId32" Type="http://schemas.openxmlformats.org/officeDocument/2006/relationships/hyperlink" Target="https://go.td.com/2s0zhIT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www.tdinsurance.com/" TargetMode="External"/><Relationship Id="rId34" Type="http://schemas.openxmlformats.org/officeDocument/2006/relationships/image" Target="media/image7.tiff"/><Relationship Id="rId35" Type="http://schemas.openxmlformats.org/officeDocument/2006/relationships/image" Target="media/image8.tiff"/><Relationship Id="rId36" Type="http://schemas.openxmlformats.org/officeDocument/2006/relationships/fontTable" Target="fontTable.xm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cbc.ca?p=eyJzIjoib0xIZDVmSU1IUGVwWjlIZ29WcnRPaXFRRkxjIiwidiI6MSwicCI6IntcInVcIjozMDgyMjM0MyxcInZcIjoxLFwidXJsXCI6XCJodHRwOlxcXC9cXFwvd3d3LmNiYy5jYVxcXC9uZXdzXFxcL2NhbmFkYVxcXC9tYW5pdG9iYVxcXC9jb2xsZWdlLXJldmlldy1tYW5pdG9iYS0xLjQxNjg1MjU_Y21wPXJzc1wiLFwiaWRcIjpcImZjYzY2MDI2MmZkYTRmMDRhMjZkZDdiMmE0ZjgwODFjXCIsXCJ1cmxfaWRzXCI6W1wiOGU5M2Y4ZTFiZWVkMWM3YTcyNzM5M2E4YWQ1ZjAzOWFjMTkwZjdkZFwiXX0ifQ" TargetMode="External"/><Relationship Id="rId19" Type="http://schemas.openxmlformats.org/officeDocument/2006/relationships/hyperlink" Target="http://www.cbc.ca/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60ADA-71BC-564B-8335-7ED0ABB5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952</Words>
  <Characters>5432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10</cp:revision>
  <cp:lastPrinted>2013-05-21T15:23:00Z</cp:lastPrinted>
  <dcterms:created xsi:type="dcterms:W3CDTF">2017-06-27T19:27:00Z</dcterms:created>
  <dcterms:modified xsi:type="dcterms:W3CDTF">2017-06-28T15:51:00Z</dcterms:modified>
</cp:coreProperties>
</file>