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D97A" w14:textId="77777777" w:rsidR="00795146" w:rsidRDefault="00795146" w:rsidP="006E648F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2"/>
      </w:tblGrid>
      <w:tr w:rsidR="006B3192" w14:paraId="0C1263FE" w14:textId="77777777" w:rsidTr="00F26E29">
        <w:trPr>
          <w:trHeight w:val="11575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5130B911" w:rsidR="00F62882" w:rsidRPr="000A604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 xml:space="preserve">     </w:t>
            </w:r>
            <w:r w:rsidR="00F62882"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WEEKLY NEWSBRIEF</w:t>
            </w:r>
          </w:p>
          <w:p w14:paraId="6327DA5B" w14:textId="687E7E16" w:rsidR="00F62882" w:rsidRPr="000A604C" w:rsidRDefault="00F62882" w:rsidP="009A4C49">
            <w:pPr>
              <w:ind w:left="3932" w:firstLine="425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BULLETIN HEBDOMODAIRE</w:t>
            </w:r>
          </w:p>
          <w:p w14:paraId="53A38E60" w14:textId="77777777" w:rsidR="00486AAF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33C2BD05" w:rsidR="00F62882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            </w:t>
            </w:r>
            <w:r w:rsidR="00E160F8">
              <w:rPr>
                <w:rFonts w:ascii="Chalkduster" w:hAnsi="Chalkduster"/>
                <w:b/>
                <w:color w:val="00B050"/>
                <w:sz w:val="28"/>
                <w:szCs w:val="28"/>
              </w:rPr>
              <w:t>December 6</w:t>
            </w:r>
            <w:r w:rsidR="007338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, </w:t>
            </w:r>
            <w:r w:rsidR="00F859A5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>2017</w:t>
            </w:r>
            <w:r w:rsidR="00F62882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** le </w:t>
            </w:r>
            <w:r w:rsidR="00E160F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6 </w:t>
            </w:r>
            <w:proofErr w:type="spellStart"/>
            <w:r w:rsidR="00E160F8">
              <w:rPr>
                <w:rFonts w:ascii="Chalkduster" w:hAnsi="Chalkduster"/>
                <w:b/>
                <w:color w:val="00B050"/>
                <w:sz w:val="28"/>
                <w:szCs w:val="28"/>
              </w:rPr>
              <w:t>Décembre</w:t>
            </w:r>
            <w:proofErr w:type="spellEnd"/>
            <w:r w:rsidR="002209FF">
              <w:rPr>
                <w:rFonts w:ascii="Chalkduster" w:hAnsi="Chalkduster"/>
                <w:b/>
                <w:color w:val="00B050"/>
                <w:sz w:val="28"/>
                <w:szCs w:val="28"/>
              </w:rPr>
              <w:t>,</w:t>
            </w:r>
            <w:r w:rsidR="00F62882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455095E1" w14:textId="77777777" w:rsidR="0073384C" w:rsidRDefault="0073384C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D630131" w14:textId="759FE5E3" w:rsidR="003B7D2D" w:rsidRPr="000A604C" w:rsidRDefault="003B7D2D" w:rsidP="0073384C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604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D489D" w14:textId="77777777" w:rsidR="00350DB5" w:rsidRPr="000A604C" w:rsidRDefault="00350DB5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0A31953D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95FCD4B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3ADCBB79" w14:textId="7A8621AD" w:rsidR="003B7D2D" w:rsidRPr="000A604C" w:rsidRDefault="0073384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</w:t>
            </w:r>
            <w:r w:rsidR="00350DB5" w:rsidRPr="000A60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</w:t>
            </w:r>
            <w:r w:rsidR="003B7D2D" w:rsidRPr="000A604C">
              <w:rPr>
                <w:rFonts w:ascii="Helvetica" w:eastAsia="Times New Roman" w:hAnsi="Helvetica" w:cs="Helvetica"/>
                <w:noProof/>
                <w:sz w:val="28"/>
                <w:szCs w:val="28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1D74CDD9" w14:textId="77777777" w:rsidR="0077000D" w:rsidRPr="000A604C" w:rsidRDefault="007700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9AD4792" w14:textId="77777777" w:rsidR="008B2544" w:rsidRPr="000A604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If you would like to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SUBSCRIBE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to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ple</w:t>
            </w:r>
            <w:r w:rsidR="008B2544" w:rsidRPr="000A604C">
              <w:rPr>
                <w:rStyle w:val="Strong"/>
                <w:color w:val="FF0000"/>
                <w:sz w:val="28"/>
                <w:szCs w:val="28"/>
              </w:rPr>
              <w:t xml:space="preserve">ase provide your name and email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address to </w:t>
            </w:r>
            <w:hyperlink r:id="rId13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hyperlink r:id="rId14" w:history="1">
              <w:r w:rsidRPr="000A604C">
                <w:rPr>
                  <w:rStyle w:val="Hyperlink"/>
                  <w:b/>
                  <w:bCs/>
                  <w:sz w:val="28"/>
                  <w:szCs w:val="28"/>
                </w:rPr>
                <w:t>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  If you would like to be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REMOVED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from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distribution list, please provide your request, citing your name and email address to </w:t>
            </w:r>
            <w:hyperlink r:id="rId15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. </w:t>
            </w:r>
          </w:p>
          <w:p w14:paraId="451BA394" w14:textId="254C122C" w:rsidR="00F859A5" w:rsidRPr="000A604C" w:rsidRDefault="0077000D" w:rsidP="00264E25">
            <w:pPr>
              <w:ind w:left="963" w:right="635" w:firstLine="396"/>
              <w:jc w:val="center"/>
              <w:rPr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INSCRIRE</w:t>
            </w:r>
            <w:r w:rsidRPr="000A604C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nous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fournir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16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être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RETIRE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la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liste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distribution 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soumettre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demande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17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  <w:r w:rsidRPr="000A604C">
                <w:rPr>
                  <w:rStyle w:val="Hyperlink"/>
                  <w:sz w:val="28"/>
                  <w:szCs w:val="28"/>
                </w:rPr>
                <w:t xml:space="preserve"> 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en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indiquant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nom et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>.</w:t>
            </w:r>
            <w:r w:rsidRPr="000A604C">
              <w:rPr>
                <w:noProof/>
                <w:sz w:val="28"/>
                <w:szCs w:val="28"/>
                <w:lang w:val="en-US" w:eastAsia="en-US"/>
              </w:rPr>
              <w:lastRenderedPageBreak/>
              <w:drawing>
                <wp:inline distT="0" distB="0" distL="0" distR="0" wp14:anchorId="6CEB01CF" wp14:editId="0EB15CBF">
                  <wp:extent cx="4822402" cy="698500"/>
                  <wp:effectExtent l="76200" t="76200" r="156210" b="13970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3CB91C2" w14:textId="77777777" w:rsidR="00486AAF" w:rsidRPr="000A604C" w:rsidRDefault="00486AAF" w:rsidP="006E648F">
            <w:pPr>
              <w:ind w:left="963" w:hanging="150"/>
              <w:jc w:val="center"/>
              <w:rPr>
                <w:sz w:val="28"/>
                <w:szCs w:val="28"/>
              </w:rPr>
            </w:pPr>
          </w:p>
          <w:p w14:paraId="134C4577" w14:textId="1821ACB0" w:rsidR="00A42583" w:rsidRPr="007905D5" w:rsidRDefault="009A4C49" w:rsidP="006E648F">
            <w:pPr>
              <w:pStyle w:val="Heading3"/>
              <w:ind w:left="963" w:hanging="150"/>
              <w:rPr>
                <w:rFonts w:ascii="Arial" w:eastAsia="Times New Roman" w:hAnsi="Arial" w:cs="Arial"/>
                <w:color w:val="000000"/>
                <w:sz w:val="3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 xml:space="preserve"> </w:t>
            </w:r>
            <w:r w:rsidR="006E648F"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 xml:space="preserve">       </w:t>
            </w:r>
            <w:r w:rsidR="00A42583" w:rsidRPr="007905D5">
              <w:rPr>
                <w:rFonts w:ascii="Arial" w:eastAsia="Times New Roman" w:hAnsi="Arial" w:cs="Arial"/>
                <w:color w:val="000000"/>
                <w:sz w:val="36"/>
                <w:szCs w:val="28"/>
              </w:rPr>
              <w:t>Oral Health</w:t>
            </w:r>
            <w:bookmarkStart w:id="0" w:name="_GoBack"/>
            <w:bookmarkEnd w:id="0"/>
          </w:p>
          <w:tbl>
            <w:tblPr>
              <w:tblW w:w="12732" w:type="dxa"/>
              <w:tblBorders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A42583" w:rsidRPr="000A604C" w14:paraId="5950E902" w14:textId="77777777" w:rsidTr="002209FF">
              <w:trPr>
                <w:trHeight w:val="224"/>
              </w:trPr>
              <w:tc>
                <w:tcPr>
                  <w:tcW w:w="12732" w:type="dxa"/>
                  <w:tcMar>
                    <w:bottom w:w="60" w:type="nil"/>
                  </w:tcMar>
                </w:tcPr>
                <w:p w14:paraId="66F8292F" w14:textId="51609AB4" w:rsidR="00A42583" w:rsidRPr="000A604C" w:rsidRDefault="00A42583" w:rsidP="002003D9">
                  <w:pPr>
                    <w:widowControl w:val="0"/>
                    <w:autoSpaceDE w:val="0"/>
                    <w:autoSpaceDN w:val="0"/>
                    <w:adjustRightInd w:val="0"/>
                    <w:ind w:left="963" w:firstLine="396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4DF3C" w14:textId="28CA05BB" w:rsidR="002003D9" w:rsidRPr="002209FF" w:rsidRDefault="002003D9" w:rsidP="002209FF">
            <w:pPr>
              <w:tabs>
                <w:tab w:val="left" w:pos="1020"/>
              </w:tabs>
              <w:ind w:left="1522"/>
              <w:rPr>
                <w:rFonts w:eastAsia="Times New Roman"/>
                <w:b/>
                <w:szCs w:val="28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E160F8" w14:paraId="71F89E8A" w14:textId="77777777">
              <w:tc>
                <w:tcPr>
                  <w:tcW w:w="11600" w:type="dxa"/>
                </w:tcPr>
                <w:p w14:paraId="6E55F082" w14:textId="77777777" w:rsidR="00E160F8" w:rsidRDefault="007905D5" w:rsidP="00E160F8">
                  <w:pPr>
                    <w:widowControl w:val="0"/>
                    <w:autoSpaceDE w:val="0"/>
                    <w:autoSpaceDN w:val="0"/>
                    <w:adjustRightInd w:val="0"/>
                    <w:ind w:left="1522" w:hanging="14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18" w:history="1">
                    <w:r w:rsidR="00E160F8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Audits of Indigenous programs get little attention, watchdog says</w:t>
                    </w:r>
                  </w:hyperlink>
                </w:p>
              </w:tc>
            </w:tr>
            <w:tr w:rsidR="00E160F8" w14:paraId="5E6916FE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9E702F3" w14:textId="77777777" w:rsidR="00E160F8" w:rsidRDefault="00E160F8" w:rsidP="00E160F8">
                  <w:pPr>
                    <w:widowControl w:val="0"/>
                    <w:autoSpaceDE w:val="0"/>
                    <w:autoSpaceDN w:val="0"/>
                    <w:adjustRightInd w:val="0"/>
                    <w:ind w:left="1522" w:hanging="14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www.theglobeandmail.com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December 3rd, 2017</w:t>
                  </w:r>
                </w:p>
              </w:tc>
            </w:tr>
            <w:tr w:rsidR="00E160F8" w14:paraId="2B938C21" w14:textId="77777777">
              <w:tc>
                <w:tcPr>
                  <w:tcW w:w="11600" w:type="dxa"/>
                  <w:tcMar>
                    <w:bottom w:w="60" w:type="nil"/>
                  </w:tcMar>
                </w:tcPr>
                <w:p w14:paraId="00A3EBA3" w14:textId="77777777" w:rsidR="00E160F8" w:rsidRDefault="007905D5" w:rsidP="00E160F8">
                  <w:pPr>
                    <w:widowControl w:val="0"/>
                    <w:autoSpaceDE w:val="0"/>
                    <w:autoSpaceDN w:val="0"/>
                    <w:adjustRightInd w:val="0"/>
                    <w:ind w:left="1522" w:hanging="14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19" w:history="1">
                    <w:r w:rsidR="00E160F8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673A581" w14:textId="77777777" w:rsidR="00E160F8" w:rsidRDefault="00E160F8" w:rsidP="00E160F8">
            <w:pPr>
              <w:widowControl w:val="0"/>
              <w:autoSpaceDE w:val="0"/>
              <w:autoSpaceDN w:val="0"/>
              <w:adjustRightInd w:val="0"/>
              <w:ind w:left="1522" w:hanging="14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E160F8" w14:paraId="1BE93FE8" w14:textId="77777777">
              <w:tc>
                <w:tcPr>
                  <w:tcW w:w="11600" w:type="dxa"/>
                </w:tcPr>
                <w:p w14:paraId="2DA13133" w14:textId="77777777" w:rsidR="00E160F8" w:rsidRDefault="007905D5" w:rsidP="00E160F8">
                  <w:pPr>
                    <w:widowControl w:val="0"/>
                    <w:autoSpaceDE w:val="0"/>
                    <w:autoSpaceDN w:val="0"/>
                    <w:adjustRightInd w:val="0"/>
                    <w:ind w:left="1522" w:hanging="14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0" w:history="1">
                    <w:r w:rsidR="00E160F8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McMaster researchers take a bite out of Vitamin D discovery</w:t>
                    </w:r>
                  </w:hyperlink>
                </w:p>
              </w:tc>
            </w:tr>
            <w:tr w:rsidR="00E160F8" w14:paraId="25B1D669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E455A9B" w14:textId="77777777" w:rsidR="00E160F8" w:rsidRDefault="00E160F8" w:rsidP="00E160F8">
                  <w:pPr>
                    <w:widowControl w:val="0"/>
                    <w:autoSpaceDE w:val="0"/>
                    <w:autoSpaceDN w:val="0"/>
                    <w:adjustRightInd w:val="0"/>
                    <w:ind w:left="1522" w:hanging="14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www.thespec.com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December 3rd, 2017</w:t>
                  </w:r>
                </w:p>
              </w:tc>
            </w:tr>
            <w:tr w:rsidR="00E160F8" w14:paraId="3BBCF0FC" w14:textId="77777777">
              <w:tc>
                <w:tcPr>
                  <w:tcW w:w="11600" w:type="dxa"/>
                  <w:tcMar>
                    <w:bottom w:w="60" w:type="nil"/>
                  </w:tcMar>
                </w:tcPr>
                <w:p w14:paraId="327B356A" w14:textId="6F78F2CD" w:rsidR="00E160F8" w:rsidRDefault="007905D5" w:rsidP="00E160F8">
                  <w:pPr>
                    <w:widowControl w:val="0"/>
                    <w:autoSpaceDE w:val="0"/>
                    <w:autoSpaceDN w:val="0"/>
                    <w:adjustRightInd w:val="0"/>
                    <w:ind w:left="1522" w:hanging="14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1" w:history="1">
                    <w:r w:rsidR="00E160F8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A75C657" w14:textId="77777777" w:rsidR="00E160F8" w:rsidRDefault="00E160F8" w:rsidP="00E160F8">
            <w:pPr>
              <w:widowControl w:val="0"/>
              <w:autoSpaceDE w:val="0"/>
              <w:autoSpaceDN w:val="0"/>
              <w:adjustRightInd w:val="0"/>
              <w:ind w:left="1522" w:hanging="14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E160F8" w14:paraId="02F704E3" w14:textId="77777777">
              <w:tc>
                <w:tcPr>
                  <w:tcW w:w="11600" w:type="dxa"/>
                </w:tcPr>
                <w:p w14:paraId="7346ECCA" w14:textId="66A587D8" w:rsidR="00E160F8" w:rsidRDefault="007905D5" w:rsidP="00E160F8">
                  <w:pPr>
                    <w:widowControl w:val="0"/>
                    <w:autoSpaceDE w:val="0"/>
                    <w:autoSpaceDN w:val="0"/>
                    <w:adjustRightInd w:val="0"/>
                    <w:ind w:left="1414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2" w:history="1">
                    <w:r w:rsidR="00E160F8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Milton dentist pioneering sensory-based care for patients with special needs</w:t>
                    </w:r>
                  </w:hyperlink>
                </w:p>
              </w:tc>
            </w:tr>
            <w:tr w:rsidR="00E160F8" w14:paraId="16F79CB6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983238C" w14:textId="77777777" w:rsidR="00E160F8" w:rsidRDefault="00E160F8" w:rsidP="00E160F8">
                  <w:pPr>
                    <w:widowControl w:val="0"/>
                    <w:autoSpaceDE w:val="0"/>
                    <w:autoSpaceDN w:val="0"/>
                    <w:adjustRightInd w:val="0"/>
                    <w:ind w:left="1414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www.insidehalton.com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December 3rd, 2017</w:t>
                  </w:r>
                </w:p>
              </w:tc>
            </w:tr>
            <w:tr w:rsidR="00E160F8" w14:paraId="25C3C0E5" w14:textId="77777777" w:rsidTr="00E160F8">
              <w:trPr>
                <w:trHeight w:val="196"/>
              </w:trPr>
              <w:tc>
                <w:tcPr>
                  <w:tcW w:w="11600" w:type="dxa"/>
                  <w:tcMar>
                    <w:bottom w:w="60" w:type="nil"/>
                  </w:tcMar>
                </w:tcPr>
                <w:p w14:paraId="3443BD59" w14:textId="77777777" w:rsidR="00E160F8" w:rsidRDefault="007905D5" w:rsidP="00E160F8">
                  <w:pPr>
                    <w:widowControl w:val="0"/>
                    <w:autoSpaceDE w:val="0"/>
                    <w:autoSpaceDN w:val="0"/>
                    <w:adjustRightInd w:val="0"/>
                    <w:ind w:left="1414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3" w:history="1">
                    <w:r w:rsidR="00E160F8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2C28919" w14:textId="24C04E34" w:rsidR="006B3192" w:rsidRPr="002003D9" w:rsidRDefault="006B3192" w:rsidP="002003D9">
            <w:pPr>
              <w:tabs>
                <w:tab w:val="left" w:pos="1020"/>
              </w:tabs>
              <w:ind w:left="963" w:firstLine="396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61"/>
            </w:tblGrid>
            <w:tr w:rsidR="00A42583" w14:paraId="484C25A2" w14:textId="77777777" w:rsidTr="007905D5">
              <w:trPr>
                <w:trHeight w:val="3005"/>
              </w:trPr>
              <w:tc>
                <w:tcPr>
                  <w:tcW w:w="11580" w:type="dxa"/>
                </w:tcPr>
                <w:p w14:paraId="286367C6" w14:textId="3AFE8C69" w:rsidR="007905D5" w:rsidRPr="007905D5" w:rsidRDefault="00B41881" w:rsidP="007905D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2DB3A3" w14:textId="1C960244" w:rsidR="007905D5" w:rsidRDefault="007905D5" w:rsidP="007905D5">
                  <w:pPr>
                    <w:pStyle w:val="Default"/>
                    <w:ind w:left="988"/>
                    <w:rPr>
                      <w:b/>
                      <w:bCs/>
                      <w:sz w:val="36"/>
                      <w:szCs w:val="40"/>
                    </w:rPr>
                  </w:pPr>
                  <w:r w:rsidRPr="007905D5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>Home Energy Efficiency Tips</w:t>
                  </w:r>
                  <w:r w:rsidR="009A4C49" w:rsidRPr="007905D5">
                    <w:rPr>
                      <w:b/>
                      <w:bCs/>
                      <w:sz w:val="36"/>
                      <w:szCs w:val="40"/>
                    </w:rPr>
                    <w:t>/</w:t>
                  </w:r>
                  <w:r w:rsidR="0073384C" w:rsidRPr="007905D5">
                    <w:rPr>
                      <w:b/>
                      <w:bCs/>
                      <w:sz w:val="36"/>
                      <w:szCs w:val="40"/>
                    </w:rPr>
                    <w:t xml:space="preserve"> </w:t>
                  </w:r>
                </w:p>
                <w:p w14:paraId="540F8BC0" w14:textId="5D518067" w:rsidR="007905D5" w:rsidRPr="007905D5" w:rsidRDefault="007905D5" w:rsidP="007905D5">
                  <w:pPr>
                    <w:pStyle w:val="Default"/>
                    <w:ind w:left="988"/>
                    <w:rPr>
                      <w:rFonts w:ascii="Arial" w:hAnsi="Arial" w:cs="Arial"/>
                    </w:rPr>
                  </w:pPr>
                  <w:proofErr w:type="spellStart"/>
                  <w:r w:rsidRPr="007905D5">
                    <w:rPr>
                      <w:rFonts w:ascii="Arial" w:hAnsi="Arial" w:cs="Arial"/>
                      <w:b/>
                      <w:bCs/>
                      <w:sz w:val="32"/>
                      <w:szCs w:val="20"/>
                    </w:rPr>
                    <w:t>Conseils</w:t>
                  </w:r>
                  <w:proofErr w:type="spellEnd"/>
                  <w:r w:rsidRPr="007905D5">
                    <w:rPr>
                      <w:rFonts w:ascii="Arial" w:hAnsi="Arial" w:cs="Arial"/>
                      <w:b/>
                      <w:bCs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7905D5">
                    <w:rPr>
                      <w:rFonts w:ascii="Arial" w:hAnsi="Arial" w:cs="Arial"/>
                      <w:b/>
                      <w:bCs/>
                      <w:sz w:val="32"/>
                      <w:szCs w:val="20"/>
                    </w:rPr>
                    <w:t>d’efficacité</w:t>
                  </w:r>
                  <w:proofErr w:type="spellEnd"/>
                  <w:r w:rsidRPr="007905D5">
                    <w:rPr>
                      <w:rFonts w:ascii="Arial" w:hAnsi="Arial" w:cs="Arial"/>
                      <w:b/>
                      <w:bCs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7905D5">
                    <w:rPr>
                      <w:rFonts w:ascii="Arial" w:hAnsi="Arial" w:cs="Arial"/>
                      <w:b/>
                      <w:bCs/>
                      <w:sz w:val="32"/>
                      <w:szCs w:val="20"/>
                    </w:rPr>
                    <w:t>énergétique</w:t>
                  </w:r>
                  <w:proofErr w:type="spellEnd"/>
                  <w:r w:rsidRPr="007905D5">
                    <w:rPr>
                      <w:rFonts w:ascii="Arial" w:hAnsi="Arial" w:cs="Arial"/>
                      <w:b/>
                      <w:bCs/>
                      <w:sz w:val="32"/>
                      <w:szCs w:val="20"/>
                    </w:rPr>
                    <w:t xml:space="preserve"> à la </w:t>
                  </w:r>
                  <w:proofErr w:type="spellStart"/>
                  <w:r w:rsidRPr="007905D5">
                    <w:rPr>
                      <w:rFonts w:ascii="Arial" w:hAnsi="Arial" w:cs="Arial"/>
                      <w:b/>
                      <w:bCs/>
                      <w:sz w:val="32"/>
                      <w:szCs w:val="20"/>
                    </w:rPr>
                    <w:t>maison</w:t>
                  </w:r>
                  <w:proofErr w:type="spellEnd"/>
                </w:p>
                <w:tbl>
                  <w:tblPr>
                    <w:tblW w:w="1204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045"/>
                  </w:tblGrid>
                  <w:tr w:rsidR="007905D5" w:rsidRPr="007905D5" w14:paraId="569DEDCB" w14:textId="77777777" w:rsidTr="007905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4"/>
                    </w:trPr>
                    <w:tc>
                      <w:tcPr>
                        <w:tcW w:w="12045" w:type="dxa"/>
                      </w:tcPr>
                      <w:p w14:paraId="737124CE" w14:textId="6DA22C3C" w:rsidR="007905D5" w:rsidRPr="007905D5" w:rsidRDefault="007905D5" w:rsidP="007905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88"/>
                          <w:rPr>
                            <w:rFonts w:ascii="Arial" w:hAnsi="Arial" w:cs="Arial"/>
                            <w:color w:val="000000"/>
                            <w:sz w:val="32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B174F5A" w14:textId="2972F5EF" w:rsidR="00FC009E" w:rsidRPr="00920174" w:rsidRDefault="00920174" w:rsidP="0064404C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  <w:tab/>
                  </w:r>
                </w:p>
              </w:tc>
            </w:tr>
            <w:tr w:rsidR="00BA4285" w:rsidRPr="00350DB5" w14:paraId="33B3BA6A" w14:textId="77777777" w:rsidTr="007905D5">
              <w:trPr>
                <w:trHeight w:val="335"/>
              </w:trPr>
              <w:tc>
                <w:tcPr>
                  <w:tcW w:w="11580" w:type="dxa"/>
                </w:tcPr>
                <w:p w14:paraId="50C86ABD" w14:textId="77777777" w:rsidR="00BA4285" w:rsidRPr="000A604C" w:rsidRDefault="00BA4285" w:rsidP="00350DB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lang w:val="en-US" w:eastAsia="en-US"/>
                    </w:rPr>
                  </w:pPr>
                </w:p>
              </w:tc>
            </w:tr>
            <w:tr w:rsidR="007511FE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7EB4075A" w14:textId="31660AD3" w:rsidR="007905D5" w:rsidRPr="007905D5" w:rsidRDefault="007905D5" w:rsidP="007905D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Saving energy in the home can help you keep costs down. Affinity partner @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TD_Insurance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offers tips to keep energy consumption in check►</w:t>
                  </w:r>
                  <w:r w:rsidRPr="007905D5">
                    <w:rPr>
                      <w:rFonts w:ascii="Arial" w:hAnsi="Arial" w:cs="Arial"/>
                      <w:sz w:val="28"/>
                      <w:szCs w:val="20"/>
                      <w:lang w:val="en-US"/>
                    </w:rPr>
                    <w:t xml:space="preserve"> </w:t>
                  </w:r>
                  <w:hyperlink r:id="rId26" w:history="1">
                    <w:r w:rsidRPr="007905D5">
                      <w:rPr>
                        <w:rStyle w:val="Hyperlink"/>
                        <w:rFonts w:ascii="Arial" w:hAnsi="Arial" w:cs="Arial"/>
                        <w:sz w:val="28"/>
                        <w:szCs w:val="20"/>
                        <w:lang w:val="en-US"/>
                      </w:rPr>
                      <w:t>https://go.td.com/2g7RcVD</w:t>
                    </w:r>
                  </w:hyperlink>
                </w:p>
                <w:p w14:paraId="2970F92E" w14:textId="59775AD8" w:rsidR="009A4C49" w:rsidRPr="007905D5" w:rsidRDefault="009A4C49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8"/>
                      <w:szCs w:val="20"/>
                      <w:lang w:val="en-US"/>
                    </w:rPr>
                  </w:pPr>
                </w:p>
                <w:p w14:paraId="3E2806C2" w14:textId="77777777" w:rsidR="0073384C" w:rsidRPr="007905D5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36"/>
                      <w:szCs w:val="20"/>
                      <w:lang w:val="en-US"/>
                    </w:rPr>
                  </w:pPr>
                </w:p>
                <w:p w14:paraId="1621CFE2" w14:textId="367CF4D7" w:rsidR="0073384C" w:rsidRPr="007905D5" w:rsidRDefault="007905D5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36"/>
                      <w:szCs w:val="20"/>
                      <w:lang w:val="en-US"/>
                    </w:rPr>
                  </w:pP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Une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maison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moins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gourmande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en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énergie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entraîne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moins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dépenses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. Notre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partenaire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programme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d’affinité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@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TD_Assurance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quelques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conseils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 pour </w:t>
                  </w:r>
                  <w:proofErr w:type="spellStart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>vous</w:t>
                  </w:r>
                  <w:proofErr w:type="spellEnd"/>
                  <w:r w:rsidRPr="007905D5">
                    <w:rPr>
                      <w:rFonts w:ascii="Arial" w:hAnsi="Arial" w:cs="Arial"/>
                      <w:szCs w:val="20"/>
                      <w:lang w:val="en-US"/>
                    </w:rPr>
                    <w:t xml:space="preserve">► </w:t>
                  </w:r>
                  <w:hyperlink r:id="rId27" w:history="1">
                    <w:r w:rsidRPr="007905D5">
                      <w:rPr>
                        <w:rStyle w:val="Hyperlink"/>
                        <w:rFonts w:ascii="Arial" w:hAnsi="Arial" w:cs="Arial"/>
                        <w:b/>
                        <w:bCs/>
                        <w:szCs w:val="20"/>
                        <w:lang w:val="en-US"/>
                      </w:rPr>
                      <w:t>https://go.td.com/2gzxIJC</w:t>
                    </w:r>
                  </w:hyperlink>
                </w:p>
                <w:p w14:paraId="402CBD16" w14:textId="712EBF62" w:rsidR="0073384C" w:rsidRPr="000A604C" w:rsidRDefault="0073384C" w:rsidP="007338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Arial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16"/>
                  </w:tblGrid>
                  <w:tr w:rsidR="00E362B5" w:rsidRPr="00350DB5" w14:paraId="4840830F" w14:textId="77777777" w:rsidTr="0073384C">
                    <w:trPr>
                      <w:trHeight w:val="517"/>
                    </w:trPr>
                    <w:tc>
                      <w:tcPr>
                        <w:tcW w:w="2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E23DD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25D7CEC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  <w:p w14:paraId="678E4F56" w14:textId="77777777" w:rsidR="007905D5" w:rsidRDefault="007905D5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9867BC5" w14:textId="77777777" w:rsidR="007905D5" w:rsidRDefault="007905D5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7471321" w14:textId="77777777" w:rsidR="007905D5" w:rsidRDefault="007905D5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CB5954F" w14:textId="77777777" w:rsidR="007905D5" w:rsidRDefault="007905D5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8769586" w14:textId="39D1981C" w:rsidR="007905D5" w:rsidRDefault="007905D5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33E69D" w14:textId="1B48C751" w:rsidR="00043274" w:rsidRDefault="00043274" w:rsidP="00043274">
      <w:pPr>
        <w:pStyle w:val="Default"/>
        <w:rPr>
          <w:rFonts w:ascii="Arial" w:hAnsi="Arial" w:cs="Arial"/>
        </w:rPr>
      </w:pPr>
    </w:p>
    <w:p w14:paraId="57FDA0F1" w14:textId="77777777" w:rsidR="00264E25" w:rsidRDefault="00264E25" w:rsidP="00043274">
      <w:pPr>
        <w:pStyle w:val="Default"/>
        <w:rPr>
          <w:rFonts w:ascii="Arial" w:hAnsi="Arial" w:cs="Arial"/>
        </w:rPr>
      </w:pPr>
    </w:p>
    <w:p w14:paraId="381431FD" w14:textId="77777777" w:rsidR="00264E25" w:rsidRPr="00043274" w:rsidRDefault="00264E25" w:rsidP="00043274">
      <w:pPr>
        <w:pStyle w:val="Default"/>
        <w:rPr>
          <w:rFonts w:ascii="Arial" w:hAnsi="Arial" w:cs="Arial"/>
        </w:rPr>
      </w:pPr>
    </w:p>
    <w:tbl>
      <w:tblPr>
        <w:tblW w:w="15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35"/>
        <w:gridCol w:w="397"/>
      </w:tblGrid>
      <w:tr w:rsidR="00043274" w:rsidRPr="00043274" w14:paraId="2D7D95B0" w14:textId="77777777" w:rsidTr="00043274">
        <w:trPr>
          <w:trHeight w:val="435"/>
        </w:trPr>
        <w:tc>
          <w:tcPr>
            <w:tcW w:w="15632" w:type="dxa"/>
            <w:gridSpan w:val="2"/>
          </w:tcPr>
          <w:p w14:paraId="6F6DD735" w14:textId="77777777" w:rsidR="00264E25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60902" w14:textId="77777777" w:rsidR="00264E25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80"/>
            </w:tblGrid>
            <w:tr w:rsidR="00264E25" w14:paraId="427BF1EC" w14:textId="77777777" w:rsidTr="00150074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181A89A5" w14:textId="77777777" w:rsidR="00264E25" w:rsidRDefault="00264E25" w:rsidP="00264E25">
                  <w:pPr>
                    <w:widowControl w:val="0"/>
                    <w:autoSpaceDE w:val="0"/>
                    <w:autoSpaceDN w:val="0"/>
                    <w:adjustRightInd w:val="0"/>
                    <w:ind w:left="1310" w:hanging="284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244AECE4" wp14:editId="696EAA30">
                        <wp:extent cx="4822402" cy="698500"/>
                        <wp:effectExtent l="76200" t="76200" r="156210" b="139700"/>
                        <wp:docPr id="3" name="Picture 3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1F3D35" w14:textId="77777777" w:rsidR="00264E25" w:rsidRDefault="00264E25" w:rsidP="001500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19FB726" w14:textId="77777777" w:rsidR="00264E25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45507" w14:textId="77777777" w:rsidR="00264E25" w:rsidRDefault="00264E25" w:rsidP="00264E25">
            <w:pPr>
              <w:rPr>
                <w:rFonts w:ascii="Rockwell Extra Bold" w:hAnsi="Rockwell Extra Bold"/>
                <w:b/>
                <w:bCs/>
                <w:color w:val="17365D" w:themeColor="text2" w:themeShade="BF"/>
                <w:sz w:val="42"/>
                <w:szCs w:val="42"/>
                <w:u w:val="single"/>
              </w:rPr>
            </w:pPr>
            <w:r w:rsidRPr="006E26F9">
              <w:rPr>
                <w:rFonts w:ascii="Chalkduster" w:hAnsi="Chalkduster"/>
                <w:color w:val="17365D" w:themeColor="text2" w:themeShade="BF"/>
                <w:sz w:val="96"/>
                <w:szCs w:val="96"/>
              </w:rPr>
              <w:t>NEWS</w:t>
            </w:r>
            <w:r w:rsidRPr="006E26F9">
              <w:rPr>
                <w:rFonts w:ascii="Wide Latin" w:hAnsi="Wide Latin"/>
                <w:color w:val="17365D" w:themeColor="text2" w:themeShade="BF"/>
                <w:sz w:val="56"/>
                <w:szCs w:val="56"/>
              </w:rPr>
              <w:t xml:space="preserve"> </w:t>
            </w:r>
            <w:proofErr w:type="gramStart"/>
            <w:r w:rsidRPr="006E26F9">
              <w:rPr>
                <w:rFonts w:ascii="Rockwell Extra Bold" w:hAnsi="Rockwell Extra Bold"/>
                <w:b/>
                <w:bCs/>
                <w:color w:val="17365D" w:themeColor="text2" w:themeShade="BF"/>
                <w:sz w:val="42"/>
                <w:szCs w:val="42"/>
                <w:u w:val="single"/>
              </w:rPr>
              <w:t>From</w:t>
            </w:r>
            <w:proofErr w:type="gramEnd"/>
            <w:r w:rsidRPr="006E26F9">
              <w:rPr>
                <w:rFonts w:ascii="Rockwell Extra Bold" w:hAnsi="Rockwell Extra Bold"/>
                <w:b/>
                <w:bCs/>
                <w:color w:val="17365D" w:themeColor="text2" w:themeShade="BF"/>
                <w:sz w:val="42"/>
                <w:szCs w:val="42"/>
                <w:u w:val="single"/>
              </w:rPr>
              <w:t xml:space="preserve"> Our Industry Partners</w:t>
            </w:r>
          </w:p>
          <w:p w14:paraId="535EE49A" w14:textId="3AD444B0" w:rsidR="00264E25" w:rsidRDefault="00264E25" w:rsidP="00264E25">
            <w:pPr>
              <w:rPr>
                <w:rStyle w:val="Hyperlink"/>
                <w:sz w:val="28"/>
                <w:szCs w:val="28"/>
              </w:rPr>
            </w:pPr>
            <w:r>
              <w:rPr>
                <w:b/>
              </w:rPr>
              <w:t>MONTHLY</w:t>
            </w:r>
            <w:r w:rsidRPr="00A04606">
              <w:rPr>
                <w:b/>
              </w:rPr>
              <w:t xml:space="preserve"> NEWSLETTER</w:t>
            </w:r>
            <w:r>
              <w:rPr>
                <w:b/>
              </w:rPr>
              <w:t xml:space="preserve">  </w:t>
            </w:r>
            <w:r w:rsidR="00E160F8">
              <w:rPr>
                <w:b/>
                <w:i/>
                <w:color w:val="002060"/>
              </w:rPr>
              <w:t>December 6</w:t>
            </w:r>
            <w:r>
              <w:rPr>
                <w:b/>
                <w:i/>
                <w:color w:val="002060"/>
              </w:rPr>
              <w:t>,</w:t>
            </w:r>
            <w:r w:rsidRPr="004741AF">
              <w:rPr>
                <w:b/>
                <w:i/>
                <w:color w:val="002060"/>
              </w:rPr>
              <w:t xml:space="preserve"> 2017</w:t>
            </w:r>
            <w:r>
              <w:tab/>
            </w:r>
            <w:r>
              <w:tab/>
              <w:t xml:space="preserve">                                      </w:t>
            </w:r>
            <w:r w:rsidRPr="00D6568C">
              <w:rPr>
                <w:sz w:val="28"/>
                <w:szCs w:val="28"/>
              </w:rPr>
              <w:t xml:space="preserve">  </w:t>
            </w:r>
            <w:r w:rsidRPr="00D6568C">
              <w:rPr>
                <w:sz w:val="28"/>
                <w:szCs w:val="28"/>
              </w:rPr>
              <w:tab/>
            </w:r>
            <w:hyperlink r:id="rId31" w:history="1">
              <w:r w:rsidRPr="00D6568C">
                <w:rPr>
                  <w:rStyle w:val="Hyperlink"/>
                  <w:sz w:val="28"/>
                  <w:szCs w:val="28"/>
                </w:rPr>
                <w:t>www.cdaa.ca</w:t>
              </w:r>
            </w:hyperlink>
          </w:p>
          <w:p w14:paraId="3741F6C3" w14:textId="77777777" w:rsidR="00264E25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2F0D2" w14:textId="07111029" w:rsidR="00264E25" w:rsidRPr="00043274" w:rsidRDefault="00264E25" w:rsidP="00264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74" w:rsidRPr="00043274" w14:paraId="713B2673" w14:textId="77777777" w:rsidTr="009F47C5">
        <w:trPr>
          <w:gridAfter w:val="1"/>
          <w:wAfter w:w="397" w:type="dxa"/>
          <w:trHeight w:val="100"/>
        </w:trPr>
        <w:tc>
          <w:tcPr>
            <w:tcW w:w="15235" w:type="dxa"/>
          </w:tcPr>
          <w:p w14:paraId="30E235EA" w14:textId="34A59AA9" w:rsidR="00043274" w:rsidRPr="00043274" w:rsidRDefault="00043274" w:rsidP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B3FB4" w14:textId="77777777" w:rsidR="00264E25" w:rsidRDefault="00264E25" w:rsidP="00264E25">
      <w:r w:rsidRPr="005E1128">
        <w:rPr>
          <w:noProof/>
          <w:lang w:val="en-US" w:eastAsia="en-US"/>
        </w:rPr>
        <w:drawing>
          <wp:inline distT="0" distB="0" distL="0" distR="0" wp14:anchorId="4E39DB7F" wp14:editId="1CA682E3">
            <wp:extent cx="2781536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815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7C271" w14:textId="77777777" w:rsidR="00264E25" w:rsidRDefault="00264E25" w:rsidP="00264E25">
      <w:pPr>
        <w:rPr>
          <w:rFonts w:ascii="Gill Sans MT" w:hAnsi="Gill Sans MT"/>
        </w:rPr>
      </w:pPr>
    </w:p>
    <w:p w14:paraId="537B5206" w14:textId="5BE38AC0" w:rsidR="00264E25" w:rsidRPr="00585AA3" w:rsidRDefault="00E160F8" w:rsidP="00264E25">
      <w:pPr>
        <w:rPr>
          <w:rFonts w:ascii="Gill Sans MT" w:hAnsi="Gill Sans MT"/>
        </w:rPr>
      </w:pPr>
      <w:r>
        <w:rPr>
          <w:rFonts w:ascii="Gill Sans MT" w:hAnsi="Gill Sans MT"/>
        </w:rPr>
        <w:t>December</w:t>
      </w:r>
      <w:r w:rsidR="00264E25" w:rsidRPr="00585AA3">
        <w:rPr>
          <w:rFonts w:ascii="Gill Sans MT" w:hAnsi="Gill Sans MT"/>
        </w:rPr>
        <w:t xml:space="preserve"> 2017</w:t>
      </w:r>
    </w:p>
    <w:p w14:paraId="3D069C60" w14:textId="77777777" w:rsidR="00264E25" w:rsidRDefault="00264E25" w:rsidP="00264E25">
      <w:pPr>
        <w:jc w:val="both"/>
        <w:rPr>
          <w:rFonts w:ascii="Gill Sans MT" w:hAnsi="Gill Sans MT"/>
        </w:rPr>
      </w:pPr>
    </w:p>
    <w:p w14:paraId="63463D55" w14:textId="77777777" w:rsidR="00E160F8" w:rsidRPr="00102D89" w:rsidRDefault="00E160F8" w:rsidP="00E160F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News and Information from the NDAEB</w:t>
      </w:r>
    </w:p>
    <w:p w14:paraId="18ABD5F9" w14:textId="77777777" w:rsidR="00E160F8" w:rsidRPr="00381BFA" w:rsidRDefault="00E160F8" w:rsidP="00E160F8">
      <w:pPr>
        <w:jc w:val="both"/>
        <w:rPr>
          <w:rFonts w:ascii="Gill Sans MT" w:hAnsi="Gill Sans MT"/>
          <w:b/>
          <w:color w:val="35A16B"/>
          <w:u w:val="single"/>
        </w:rPr>
      </w:pPr>
      <w:r w:rsidRPr="00381BFA">
        <w:rPr>
          <w:rFonts w:ascii="Gill Sans MT" w:eastAsia="Times New Roman" w:hAnsi="Gill Sans MT" w:cs="Times New Roman"/>
          <w:b/>
          <w:bCs/>
          <w:color w:val="5D416B"/>
          <w:u w:val="single"/>
        </w:rPr>
        <w:t>Written Examination:</w:t>
      </w:r>
    </w:p>
    <w:p w14:paraId="133C811C" w14:textId="77777777" w:rsidR="00E160F8" w:rsidRPr="009202B8" w:rsidRDefault="00E160F8" w:rsidP="00E160F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The results of the December 9, 2017 Written Examination will be released to candidates 4-6 weeks following the exam.</w:t>
      </w:r>
    </w:p>
    <w:p w14:paraId="1331C5DF" w14:textId="77777777" w:rsidR="00E160F8" w:rsidRPr="009202B8" w:rsidRDefault="00E160F8" w:rsidP="00E160F8">
      <w:pPr>
        <w:jc w:val="both"/>
        <w:rPr>
          <w:rFonts w:ascii="Gill Sans MT" w:hAnsi="Gill Sans MT"/>
          <w:sz w:val="16"/>
          <w:szCs w:val="16"/>
        </w:rPr>
      </w:pPr>
    </w:p>
    <w:p w14:paraId="7780C66A" w14:textId="77777777" w:rsidR="00E160F8" w:rsidRDefault="00E160F8" w:rsidP="00E160F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Dates for the 2018 Written Exam sessions have been made available on the NDAEB website. Please continue to visit the </w:t>
      </w:r>
      <w:hyperlink r:id="rId33" w:history="1">
        <w:r w:rsidRPr="00DF0AF4">
          <w:rPr>
            <w:rStyle w:val="Hyperlink"/>
            <w:rFonts w:ascii="Gill Sans MT" w:hAnsi="Gill Sans MT"/>
          </w:rPr>
          <w:t>NDAEB website</w:t>
        </w:r>
      </w:hyperlink>
      <w:r>
        <w:rPr>
          <w:rFonts w:ascii="Gill Sans MT" w:hAnsi="Gill Sans MT"/>
        </w:rPr>
        <w:t xml:space="preserve"> for the 2018 Application Form and 2018 Exam Candidate Handbook.</w:t>
      </w:r>
    </w:p>
    <w:p w14:paraId="2248B883" w14:textId="77777777" w:rsidR="00E160F8" w:rsidRDefault="00E160F8" w:rsidP="00E160F8">
      <w:pPr>
        <w:jc w:val="both"/>
        <w:rPr>
          <w:rFonts w:ascii="Gill Sans MT" w:hAnsi="Gill Sans MT"/>
        </w:rPr>
      </w:pPr>
    </w:p>
    <w:p w14:paraId="5ADB318F" w14:textId="77777777" w:rsidR="00E160F8" w:rsidRPr="00381BFA" w:rsidRDefault="00E160F8" w:rsidP="00E160F8">
      <w:pPr>
        <w:jc w:val="both"/>
        <w:rPr>
          <w:rFonts w:ascii="Gill Sans MT" w:eastAsia="Times New Roman" w:hAnsi="Gill Sans MT" w:cs="Times New Roman"/>
          <w:b/>
          <w:bCs/>
          <w:color w:val="5D416B"/>
          <w:u w:val="single"/>
        </w:rPr>
      </w:pPr>
      <w:r w:rsidRPr="00381BFA">
        <w:rPr>
          <w:rFonts w:ascii="Gill Sans MT" w:eastAsia="Times New Roman" w:hAnsi="Gill Sans MT" w:cs="Times New Roman"/>
          <w:b/>
          <w:bCs/>
          <w:color w:val="5D416B"/>
          <w:u w:val="single"/>
        </w:rPr>
        <w:t>Clinical Practice Evaluation</w:t>
      </w:r>
      <w:r>
        <w:rPr>
          <w:rFonts w:ascii="Gill Sans MT" w:eastAsia="Times New Roman" w:hAnsi="Gill Sans MT" w:cs="Times New Roman"/>
          <w:b/>
          <w:bCs/>
          <w:color w:val="5D416B"/>
          <w:u w:val="single"/>
        </w:rPr>
        <w:t xml:space="preserve"> (CPE)</w:t>
      </w:r>
      <w:r w:rsidRPr="00381BFA">
        <w:rPr>
          <w:rFonts w:ascii="Gill Sans MT" w:eastAsia="Times New Roman" w:hAnsi="Gill Sans MT" w:cs="Times New Roman"/>
          <w:b/>
          <w:bCs/>
          <w:color w:val="5D416B"/>
          <w:u w:val="single"/>
        </w:rPr>
        <w:t>:</w:t>
      </w:r>
    </w:p>
    <w:p w14:paraId="26092F17" w14:textId="77777777" w:rsidR="00E160F8" w:rsidRDefault="00E160F8" w:rsidP="00E160F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Results from the November 2017 CPE session have been released to candidates as of November 30, 2017. </w:t>
      </w:r>
    </w:p>
    <w:p w14:paraId="49604DA9" w14:textId="77777777" w:rsidR="00E160F8" w:rsidRDefault="00E160F8" w:rsidP="00E160F8">
      <w:pPr>
        <w:jc w:val="both"/>
        <w:rPr>
          <w:rFonts w:ascii="Gill Sans MT" w:hAnsi="Gill Sans MT"/>
        </w:rPr>
      </w:pPr>
    </w:p>
    <w:p w14:paraId="0E90311A" w14:textId="77777777" w:rsidR="00E160F8" w:rsidRDefault="00E160F8" w:rsidP="00E160F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next available CPE is scheduled for </w:t>
      </w:r>
      <w:r w:rsidRPr="00DF0AF4">
        <w:rPr>
          <w:rFonts w:ascii="Gill Sans MT" w:hAnsi="Gill Sans MT"/>
          <w:b/>
          <w:color w:val="35A16B"/>
        </w:rPr>
        <w:t>March 2018.</w:t>
      </w:r>
      <w:r>
        <w:rPr>
          <w:rFonts w:ascii="Gill Sans MT" w:hAnsi="Gill Sans MT"/>
        </w:rPr>
        <w:t xml:space="preserve"> </w:t>
      </w:r>
    </w:p>
    <w:p w14:paraId="4CB86AB7" w14:textId="77777777" w:rsidR="00E160F8" w:rsidRPr="00102D89" w:rsidRDefault="00E160F8" w:rsidP="00E160F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Gill Sans MT" w:hAnsi="Gill Sans MT"/>
        </w:rPr>
      </w:pPr>
      <w:r w:rsidRPr="00B6738C">
        <w:rPr>
          <w:rFonts w:ascii="Gill Sans MT" w:hAnsi="Gill Sans MT"/>
        </w:rPr>
        <w:t xml:space="preserve">Applications and all supporting documents must be received by the NDAEB office no later than the deadline date of </w:t>
      </w:r>
      <w:r w:rsidRPr="00B6738C">
        <w:rPr>
          <w:rFonts w:ascii="Gill Sans MT" w:hAnsi="Gill Sans MT"/>
          <w:b/>
          <w:u w:val="single"/>
        </w:rPr>
        <w:t xml:space="preserve">Friday, </w:t>
      </w:r>
      <w:r>
        <w:rPr>
          <w:rFonts w:ascii="Gill Sans MT" w:hAnsi="Gill Sans MT"/>
          <w:b/>
          <w:u w:val="single"/>
        </w:rPr>
        <w:t>January 5</w:t>
      </w:r>
      <w:r w:rsidRPr="00B6738C">
        <w:rPr>
          <w:rFonts w:ascii="Gill Sans MT" w:hAnsi="Gill Sans MT"/>
          <w:b/>
          <w:u w:val="single"/>
        </w:rPr>
        <w:t>, 201</w:t>
      </w:r>
      <w:r>
        <w:rPr>
          <w:rFonts w:ascii="Gill Sans MT" w:hAnsi="Gill Sans MT"/>
          <w:b/>
          <w:u w:val="single"/>
        </w:rPr>
        <w:t>8</w:t>
      </w:r>
      <w:r w:rsidRPr="00B6738C">
        <w:rPr>
          <w:rFonts w:ascii="Gill Sans MT" w:hAnsi="Gill Sans MT"/>
        </w:rPr>
        <w:t xml:space="preserve"> at 4:30p.m. E</w:t>
      </w:r>
      <w:r>
        <w:rPr>
          <w:rFonts w:ascii="Gill Sans MT" w:hAnsi="Gill Sans MT"/>
        </w:rPr>
        <w:t>.</w:t>
      </w:r>
      <w:r w:rsidRPr="00B6738C">
        <w:rPr>
          <w:rFonts w:ascii="Gill Sans MT" w:hAnsi="Gill Sans MT"/>
        </w:rPr>
        <w:t xml:space="preserve">T. The application form and Candidate Handbook are available on the </w:t>
      </w:r>
      <w:hyperlink r:id="rId34" w:history="1">
        <w:r w:rsidRPr="00B6738C">
          <w:rPr>
            <w:rStyle w:val="Hyperlink"/>
            <w:rFonts w:ascii="Gill Sans MT" w:hAnsi="Gill Sans MT"/>
          </w:rPr>
          <w:t>NDAEB website.</w:t>
        </w:r>
      </w:hyperlink>
      <w:r w:rsidRPr="00B6738C">
        <w:rPr>
          <w:rFonts w:ascii="Gill Sans MT" w:hAnsi="Gill Sans MT"/>
        </w:rPr>
        <w:t xml:space="preserve"> </w:t>
      </w:r>
    </w:p>
    <w:p w14:paraId="59E2D821" w14:textId="77777777" w:rsidR="00E160F8" w:rsidRDefault="00E160F8" w:rsidP="00E160F8">
      <w:pPr>
        <w:jc w:val="both"/>
        <w:rPr>
          <w:rFonts w:ascii="Gill Sans MT" w:hAnsi="Gill Sans MT"/>
        </w:rPr>
      </w:pPr>
    </w:p>
    <w:p w14:paraId="6E8A482C" w14:textId="77777777" w:rsidR="00E160F8" w:rsidRPr="00012937" w:rsidRDefault="00E160F8" w:rsidP="00E160F8">
      <w:pPr>
        <w:jc w:val="both"/>
        <w:rPr>
          <w:rFonts w:ascii="Gill Sans MT" w:eastAsia="Times New Roman" w:hAnsi="Gill Sans MT" w:cs="Times New Roman"/>
          <w:b/>
          <w:bCs/>
          <w:color w:val="35A16B"/>
          <w:u w:val="single"/>
        </w:rPr>
      </w:pPr>
      <w:r w:rsidRPr="00012937">
        <w:rPr>
          <w:rFonts w:ascii="Gill Sans MT" w:eastAsia="Times New Roman" w:hAnsi="Gill Sans MT" w:cs="Times New Roman"/>
          <w:b/>
          <w:bCs/>
          <w:color w:val="35A16B"/>
          <w:u w:val="single"/>
        </w:rPr>
        <w:t>Important Updates:</w:t>
      </w:r>
    </w:p>
    <w:p w14:paraId="49FFA630" w14:textId="77777777" w:rsidR="00E160F8" w:rsidRDefault="00E160F8" w:rsidP="00E160F8">
      <w:pPr>
        <w:jc w:val="both"/>
        <w:rPr>
          <w:rFonts w:ascii="Gill Sans MT" w:hAnsi="Gill Sans MT"/>
        </w:rPr>
      </w:pPr>
    </w:p>
    <w:p w14:paraId="6F974FFC" w14:textId="77777777" w:rsidR="00E160F8" w:rsidRDefault="00E160F8" w:rsidP="00E160F8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  <w:rPr>
          <w:rFonts w:ascii="Gill Sans MT" w:hAnsi="Gill Sans MT"/>
        </w:rPr>
      </w:pPr>
      <w:r w:rsidRPr="00DF0AF4">
        <w:rPr>
          <w:rFonts w:ascii="Gill Sans MT" w:hAnsi="Gill Sans MT"/>
        </w:rPr>
        <w:t xml:space="preserve">Effective January 1, 2018, the NDAEB will begin testing </w:t>
      </w:r>
      <w:r w:rsidRPr="00DF0AF4">
        <w:rPr>
          <w:rFonts w:ascii="Gill Sans MT" w:hAnsi="Gill Sans MT"/>
          <w:b/>
        </w:rPr>
        <w:t xml:space="preserve">Skill 1 Exposes Digital Radiographic Images </w:t>
      </w:r>
      <w:r w:rsidRPr="00DF0AF4">
        <w:rPr>
          <w:rFonts w:ascii="Gill Sans MT" w:hAnsi="Gill Sans MT"/>
        </w:rPr>
        <w:t xml:space="preserve">on the Clinical Practice Evaluation (CPE). Beginning with the 2018 February/March CPE session, candidates will no longer expose film. For more information on the evaluation of this skill, please visit the </w:t>
      </w:r>
      <w:hyperlink r:id="rId35" w:history="1">
        <w:r w:rsidRPr="00DF0AF4">
          <w:rPr>
            <w:rStyle w:val="Hyperlink"/>
            <w:rFonts w:ascii="Gill Sans MT" w:hAnsi="Gill Sans MT"/>
          </w:rPr>
          <w:t>NDAEB website.</w:t>
        </w:r>
      </w:hyperlink>
      <w:r w:rsidRPr="00DF0AF4">
        <w:rPr>
          <w:rFonts w:ascii="Gill Sans MT" w:hAnsi="Gill Sans MT"/>
        </w:rPr>
        <w:t xml:space="preserve">  </w:t>
      </w:r>
    </w:p>
    <w:p w14:paraId="1AE45A81" w14:textId="77777777" w:rsidR="00E160F8" w:rsidRPr="00012937" w:rsidRDefault="00E160F8" w:rsidP="00E160F8">
      <w:pPr>
        <w:pStyle w:val="ListParagraph"/>
        <w:ind w:left="360"/>
        <w:jc w:val="both"/>
        <w:rPr>
          <w:rFonts w:ascii="Gill Sans MT" w:hAnsi="Gill Sans MT"/>
          <w:sz w:val="10"/>
          <w:szCs w:val="10"/>
        </w:rPr>
      </w:pPr>
    </w:p>
    <w:p w14:paraId="4570C654" w14:textId="77777777" w:rsidR="00E160F8" w:rsidRPr="00DF0AF4" w:rsidRDefault="00E160F8" w:rsidP="00E160F8">
      <w:pPr>
        <w:pStyle w:val="ListParagraph"/>
        <w:numPr>
          <w:ilvl w:val="0"/>
          <w:numId w:val="8"/>
        </w:numPr>
        <w:spacing w:after="160" w:line="259" w:lineRule="auto"/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NDAEB Board of Directors have approved an increase to the fees charged for the Written Exam and CPE. </w:t>
      </w:r>
      <w:r w:rsidRPr="009F3C46">
        <w:rPr>
          <w:rFonts w:ascii="Gill Sans MT" w:hAnsi="Gill Sans MT"/>
        </w:rPr>
        <w:t>The fee increase will become</w:t>
      </w:r>
      <w:r w:rsidRPr="009F3C46">
        <w:rPr>
          <w:rFonts w:ascii="Gill Sans MT" w:hAnsi="Gill Sans MT"/>
          <w:b/>
        </w:rPr>
        <w:t xml:space="preserve"> effective January 1, 2019</w:t>
      </w:r>
      <w:r>
        <w:rPr>
          <w:rFonts w:ascii="Gill Sans MT" w:hAnsi="Gill Sans MT"/>
        </w:rPr>
        <w:t xml:space="preserve">. Please visit the </w:t>
      </w:r>
      <w:hyperlink r:id="rId36" w:history="1">
        <w:r w:rsidRPr="009F3C46">
          <w:rPr>
            <w:rStyle w:val="Hyperlink"/>
            <w:rFonts w:ascii="Gill Sans MT" w:hAnsi="Gill Sans MT"/>
          </w:rPr>
          <w:t>NDAEB News</w:t>
        </w:r>
      </w:hyperlink>
      <w:r>
        <w:rPr>
          <w:rFonts w:ascii="Gill Sans MT" w:hAnsi="Gill Sans MT"/>
        </w:rPr>
        <w:t xml:space="preserve"> section of the website for more information.  </w:t>
      </w:r>
    </w:p>
    <w:p w14:paraId="0E2C22A5" w14:textId="434ED718" w:rsidR="00264E25" w:rsidRPr="00C90DAB" w:rsidRDefault="00264E25" w:rsidP="00264E25">
      <w:pPr>
        <w:jc w:val="both"/>
        <w:rPr>
          <w:rFonts w:ascii="Gill Sans MT" w:hAnsi="Gill Sans MT"/>
        </w:rPr>
      </w:pPr>
      <w:r w:rsidRPr="00C90DAB">
        <w:rPr>
          <w:rFonts w:ascii="Gill Sans MT" w:hAnsi="Gill Sans MT"/>
        </w:rPr>
        <w:lastRenderedPageBreak/>
        <w:t xml:space="preserve"> </w:t>
      </w:r>
    </w:p>
    <w:p w14:paraId="14F43A16" w14:textId="77777777" w:rsidR="00486AAF" w:rsidRPr="004F3D9B" w:rsidRDefault="00486AAF">
      <w:pPr>
        <w:rPr>
          <w:sz w:val="22"/>
          <w:szCs w:val="22"/>
        </w:rPr>
      </w:pPr>
    </w:p>
    <w:sectPr w:rsidR="00486AAF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C3DD3"/>
    <w:rsid w:val="001D769A"/>
    <w:rsid w:val="001F7D10"/>
    <w:rsid w:val="002003D9"/>
    <w:rsid w:val="002209FF"/>
    <w:rsid w:val="002273F0"/>
    <w:rsid w:val="00257B8F"/>
    <w:rsid w:val="00264E25"/>
    <w:rsid w:val="00295428"/>
    <w:rsid w:val="002B26CC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735BA"/>
    <w:rsid w:val="00486AAF"/>
    <w:rsid w:val="004A1670"/>
    <w:rsid w:val="004B46E6"/>
    <w:rsid w:val="004F3D9B"/>
    <w:rsid w:val="0053085A"/>
    <w:rsid w:val="005334E6"/>
    <w:rsid w:val="0055707C"/>
    <w:rsid w:val="00593DF9"/>
    <w:rsid w:val="005B42ED"/>
    <w:rsid w:val="005C2D78"/>
    <w:rsid w:val="00604880"/>
    <w:rsid w:val="00607DBF"/>
    <w:rsid w:val="0064404C"/>
    <w:rsid w:val="006452CB"/>
    <w:rsid w:val="0066001C"/>
    <w:rsid w:val="00670372"/>
    <w:rsid w:val="0068038D"/>
    <w:rsid w:val="006A67EA"/>
    <w:rsid w:val="006A7E09"/>
    <w:rsid w:val="006B3192"/>
    <w:rsid w:val="006C12A2"/>
    <w:rsid w:val="006C630F"/>
    <w:rsid w:val="006E26F9"/>
    <w:rsid w:val="006E648F"/>
    <w:rsid w:val="0073384C"/>
    <w:rsid w:val="00750D29"/>
    <w:rsid w:val="007511FE"/>
    <w:rsid w:val="0077000D"/>
    <w:rsid w:val="00772705"/>
    <w:rsid w:val="007905D5"/>
    <w:rsid w:val="00795146"/>
    <w:rsid w:val="0082207B"/>
    <w:rsid w:val="00857E5E"/>
    <w:rsid w:val="00870924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62400"/>
    <w:rsid w:val="00AA0596"/>
    <w:rsid w:val="00AA10A5"/>
    <w:rsid w:val="00AE4EF6"/>
    <w:rsid w:val="00B05AC9"/>
    <w:rsid w:val="00B30849"/>
    <w:rsid w:val="00B41881"/>
    <w:rsid w:val="00B551B2"/>
    <w:rsid w:val="00B73B31"/>
    <w:rsid w:val="00BA26D9"/>
    <w:rsid w:val="00BA428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933CA"/>
    <w:rsid w:val="00E93896"/>
    <w:rsid w:val="00ED28D3"/>
    <w:rsid w:val="00EE14D8"/>
    <w:rsid w:val="00F0197C"/>
    <w:rsid w:val="00F26E29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www.thespec.com?p=eyJzIjoiaERjYTVSUDJmaElya3l4VVlSTmVTTUpYUmpVIiwidiI6MSwicCI6IntcInVcIjozMDgyMjM0MyxcInZcIjoxLFwidXJsXCI6XCJodHRwczpcXFwvXFxcL3d3dy50aGVzcGVjLmNvbVxcXC9saXZpbmctc3RvcnlcXFwvNzk3MzMxNC1tY21hc3Rlci1yZXNlYXJjaGVycy10YWtlLWEtYml0ZS1vdXQtb2Ytdml0YW1pbi1kLWRpc2NvdmVyeVxcXC9cIixcImlkXCI6XCI4MjYxNDJkNTUwYjg0ZTg0YThiYTM3ZGQ5NjhlNjg5NlwiLFwidXJsX2lkc1wiOltcIjYwNGU4NjlkYzgyMGMzMzkxNDE4MWY3MTI3NTVmMjliMTBiMDliYjZcIl19In0" TargetMode="External"/><Relationship Id="rId21" Type="http://schemas.openxmlformats.org/officeDocument/2006/relationships/hyperlink" Target="https://mandrillapp.com/track/click/30822343/www.thespec.com?p=eyJzIjoiaERjYTVSUDJmaElya3l4VVlSTmVTTUpYUmpVIiwidiI6MSwicCI6IntcInVcIjozMDgyMjM0MyxcInZcIjoxLFwidXJsXCI6XCJodHRwczpcXFwvXFxcL3d3dy50aGVzcGVjLmNvbVxcXC9saXZpbmctc3RvcnlcXFwvNzk3MzMxNC1tY21hc3Rlci1yZXNlYXJjaGVycy10YWtlLWEtYml0ZS1vdXQtb2Ytdml0YW1pbi1kLWRpc2NvdmVyeVxcXC9cIixcImlkXCI6XCI4MjYxNDJkNTUwYjg0ZTg0YThiYTM3ZGQ5NjhlNjg5NlwiLFwidXJsX2lkc1wiOltcIjYwNGU4NjlkYzgyMGMzMzkxNDE4MWY3MTI3NTVmMjliMTBiMDliYjZcIl19In0" TargetMode="External"/><Relationship Id="rId22" Type="http://schemas.openxmlformats.org/officeDocument/2006/relationships/hyperlink" Target="https://mandrillapp.com/track/click/30822343/www.insidehalton.com?p=eyJzIjoiOFh3LTBYR1pVOUhMUURWcmlTMm5CMGh5Y0pVIiwidiI6MSwicCI6IntcInVcIjozMDgyMjM0MyxcInZcIjoxLFwidXJsXCI6XCJodHRwczpcXFwvXFxcL3d3dy5pbnNpZGVoYWx0b24uY29tXFxcL25ld3Mtc3RvcnlcXFwvNzk3NTI1Ni1taWx0b24tZGVudGlzdC1waW9uZWVyaW5nLXNlbnNvcnktYmFzZWQtY2FyZS1mb3ItcGF0aWVudHMtd2l0aC1zcGVjaWFsLW5lZWRzXFxcL1wiLFwiaWRcIjpcIjgyNjE0MmQ1NTBiODRlODRhOGJhMzdkZDk2OGU2ODk2XCIsXCJ1cmxfaWRzXCI6W1wiYzFmY2I2OGQ0Yzk2Y2ZjNTI1N2M4YzkxNzRiMGI2YmUyMWMwNmIzZlwiXX0ifQ" TargetMode="External"/><Relationship Id="rId23" Type="http://schemas.openxmlformats.org/officeDocument/2006/relationships/hyperlink" Target="https://mandrillapp.com/track/click/30822343/www.insidehalton.com?p=eyJzIjoiOFh3LTBYR1pVOUhMUURWcmlTMm5CMGh5Y0pVIiwidiI6MSwicCI6IntcInVcIjozMDgyMjM0MyxcInZcIjoxLFwidXJsXCI6XCJodHRwczpcXFwvXFxcL3d3dy5pbnNpZGVoYWx0b24uY29tXFxcL25ld3Mtc3RvcnlcXFwvNzk3NTI1Ni1taWx0b24tZGVudGlzdC1waW9uZWVyaW5nLXNlbnNvcnktYmFzZWQtY2FyZS1mb3ItcGF0aWVudHMtd2l0aC1zcGVjaWFsLW5lZWRzXFxcL1wiLFwiaWRcIjpcIjgyNjE0MmQ1NTBiODRlODRhOGJhMzdkZDk2OGU2ODk2XCIsXCJ1cmxfaWRzXCI6W1wiYzFmY2I2OGQ0Yzk2Y2ZjNTI1N2M4YzkxNzRiMGI2YmUyMWMwNmIzZlwiXX0ifQ" TargetMode="External"/><Relationship Id="rId24" Type="http://schemas.openxmlformats.org/officeDocument/2006/relationships/hyperlink" Target="http://www.tdinsurance.com/" TargetMode="External"/><Relationship Id="rId25" Type="http://schemas.openxmlformats.org/officeDocument/2006/relationships/image" Target="media/image5.png"/><Relationship Id="rId26" Type="http://schemas.openxmlformats.org/officeDocument/2006/relationships/hyperlink" Target="https://go.td.com/2g7RcVD" TargetMode="External"/><Relationship Id="rId27" Type="http://schemas.openxmlformats.org/officeDocument/2006/relationships/hyperlink" Target="https://go.td.com/2gzxIJC" TargetMode="External"/><Relationship Id="rId28" Type="http://schemas.openxmlformats.org/officeDocument/2006/relationships/hyperlink" Target="https://www.tdinsurance.com/" TargetMode="External"/><Relationship Id="rId29" Type="http://schemas.openxmlformats.org/officeDocument/2006/relationships/image" Target="media/image6.tif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7.tiff"/><Relationship Id="rId31" Type="http://schemas.openxmlformats.org/officeDocument/2006/relationships/hyperlink" Target="http://www.cdaa.ca/" TargetMode="External"/><Relationship Id="rId32" Type="http://schemas.openxmlformats.org/officeDocument/2006/relationships/image" Target="media/image8.png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://www.ndaeb.ca" TargetMode="External"/><Relationship Id="rId34" Type="http://schemas.openxmlformats.org/officeDocument/2006/relationships/hyperlink" Target="http://www.ndaeb.ca/CPE_general_E.php" TargetMode="External"/><Relationship Id="rId35" Type="http://schemas.openxmlformats.org/officeDocument/2006/relationships/hyperlink" Target="http://www.ndaeb.ca/CPE_general_E.php" TargetMode="External"/><Relationship Id="rId36" Type="http://schemas.openxmlformats.org/officeDocument/2006/relationships/hyperlink" Target="http://www.ndaeb.ca/news_E.php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www.theglobeandmail.com?p=eyJzIjoiMFNYdkN0aHBSRjgwQkF4VFNVTW03WUhRNGU0IiwidiI6MSwicCI6IntcInVcIjozMDgyMjM0MyxcInZcIjoxLFwidXJsXCI6XCJodHRwczpcXFwvXFxcL3d3dy50aGVnbG9iZWFuZG1haWwuY29tXFxcL25ld3NcXFwvbmF0aW9uYWxcXFwvYXVkaXRzLW9mLWluZGlnZW5vdXMtcHJvZ3JhbXMtZ2V0LWxpdHRsZS1hdHRlbnRpb24td2F0Y2hkb2ctc2F5c1xcXC9hcnRpY2xlMzcxMDY3MzRcXFwvXCIsXCJpZFwiOlwiODI2MTQyZDU1MGI4NGU4NGE4YmEzN2RkOTY4ZTY4OTZcIixcInVybF9pZHNcIjpbXCI4M2ViZTU2OThiYmEwMjg0N2QwYjk3ZmI1MWUzYzI4YzExOTdiMGI0XCJdfSJ9" TargetMode="External"/><Relationship Id="rId19" Type="http://schemas.openxmlformats.org/officeDocument/2006/relationships/hyperlink" Target="https://mandrillapp.com/track/click/30822343/www.theglobeandmail.com?p=eyJzIjoiMFNYdkN0aHBSRjgwQkF4VFNVTW03WUhRNGU0IiwidiI6MSwicCI6IntcInVcIjozMDgyMjM0MyxcInZcIjoxLFwidXJsXCI6XCJodHRwczpcXFwvXFxcL3d3dy50aGVnbG9iZWFuZG1haWwuY29tXFxcL25ld3NcXFwvbmF0aW9uYWxcXFwvYXVkaXRzLW9mLWluZGlnZW5vdXMtcHJvZ3JhbXMtZ2V0LWxpdHRsZS1hdHRlbnRpb24td2F0Y2hkb2ctc2F5c1xcXC9hcnRpY2xlMzcxMDY3MzRcXFwvXCIsXCJpZFwiOlwiODI2MTQyZDU1MGI4NGU4NGE4YmEzN2RkOTY4ZTY4OTZcIixcInVybF9pZHNcIjpbXCI4M2ViZTU2OThiYmEwMjg0N2QwYjk3ZmI1MWUzYzI4YzExOTdiMGI0XCJdfSJ9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0EFAD-CFAD-2E40-B6BC-AB5FCC4E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1116</Words>
  <Characters>6362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8</cp:revision>
  <cp:lastPrinted>2013-05-21T15:23:00Z</cp:lastPrinted>
  <dcterms:created xsi:type="dcterms:W3CDTF">2017-11-08T15:13:00Z</dcterms:created>
  <dcterms:modified xsi:type="dcterms:W3CDTF">2017-12-06T14:50:00Z</dcterms:modified>
</cp:coreProperties>
</file>