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6E77F8F2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77777777" w:rsidR="00686132" w:rsidRDefault="00686132" w:rsidP="00686132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2F58AC"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F62882"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2ECF266E" w14:textId="77777777" w:rsidR="00F43613" w:rsidRDefault="00F62882" w:rsidP="00F43613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695FCD4B" w14:textId="76844D92" w:rsidR="003B7D2D" w:rsidRPr="00F43613" w:rsidRDefault="009A4D5F" w:rsidP="00F43613">
            <w:pPr>
              <w:ind w:left="3932" w:hanging="440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>September 13</w:t>
            </w:r>
            <w:r w:rsidR="00F43613">
              <w:rPr>
                <w:rFonts w:ascii="Chalkduster" w:hAnsi="Chalkduster"/>
                <w:b/>
                <w:color w:val="00B050"/>
                <w:szCs w:val="28"/>
              </w:rPr>
              <w:t xml:space="preserve">, 2018 ** le </w:t>
            </w:r>
            <w:r>
              <w:rPr>
                <w:rFonts w:ascii="Chalkduster" w:hAnsi="Chalkduster"/>
                <w:b/>
                <w:color w:val="00B050"/>
                <w:szCs w:val="28"/>
              </w:rPr>
              <w:t>13</w:t>
            </w:r>
            <w:r w:rsidR="00F43613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proofErr w:type="spellStart"/>
            <w:r>
              <w:rPr>
                <w:rFonts w:ascii="Chalkduster" w:hAnsi="Chalkduster"/>
                <w:b/>
                <w:color w:val="00B050"/>
                <w:szCs w:val="28"/>
              </w:rPr>
              <w:t>s</w:t>
            </w:r>
            <w:r w:rsidR="00F43613">
              <w:rPr>
                <w:rFonts w:ascii="Chalkduster" w:hAnsi="Chalkduster"/>
                <w:b/>
                <w:color w:val="00B050"/>
                <w:szCs w:val="28"/>
              </w:rPr>
              <w:t>eptembre</w:t>
            </w:r>
            <w:proofErr w:type="spellEnd"/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 xml:space="preserve"> 2018</w:t>
            </w:r>
          </w:p>
          <w:p w14:paraId="3D510552" w14:textId="4AE35353" w:rsidR="00886F70" w:rsidRPr="00200FA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  <w:p w14:paraId="5FDF6D50" w14:textId="77777777" w:rsidR="00886F70" w:rsidRPr="00B0720D" w:rsidRDefault="002362B2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52"/>
                <w:szCs w:val="30"/>
                <w:lang w:val="en-US"/>
              </w:rPr>
            </w:pPr>
            <w:hyperlink r:id="rId9" w:history="1">
              <w:r w:rsidR="00886F70" w:rsidRPr="00B0720D">
                <w:rPr>
                  <w:rFonts w:ascii="Calibri" w:hAnsi="Calibri" w:cs="Calibri"/>
                  <w:color w:val="0000FF"/>
                  <w:sz w:val="52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0A3E6D0E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2C58DC14" w:rsidR="00886F70" w:rsidRPr="00200FAC" w:rsidRDefault="002362B2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0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1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2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2B66EDD9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F43613">
              <w:fldChar w:fldCharType="begin"/>
            </w:r>
            <w:r w:rsidR="00F43613">
              <w:instrText xml:space="preserve"> HYPERLINK "https://scrubscanada.ca/en/116-dansko" </w:instrText>
            </w:r>
            <w:r w:rsidR="00F43613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F43613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3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4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8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3BF89125" w14:textId="26BF5C2D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7ED95563">
                  <wp:simplePos x="0" y="0"/>
                  <wp:positionH relativeFrom="column">
                    <wp:posOffset>1824955</wp:posOffset>
                  </wp:positionH>
                  <wp:positionV relativeFrom="paragraph">
                    <wp:posOffset>277537</wp:posOffset>
                  </wp:positionV>
                  <wp:extent cx="4114872" cy="2732107"/>
                  <wp:effectExtent l="0" t="0" r="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72" cy="2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BEB43" w14:textId="39B532C2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57AF6747" w:rsid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B144380" w14:textId="391D994B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36E74EB" w14:textId="3583FB9C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F883909" w14:textId="7575D0B8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800C3B1" w14:textId="714CD320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2BD2E59" w14:textId="27CB017A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70B735AF" w14:textId="77777777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F93613A" w14:textId="77777777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D062272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0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1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2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35D1F7F" w14:textId="4244960A" w:rsidR="007D789B" w:rsidRP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43D15AE5" w14:textId="77777777" w:rsidR="007D789B" w:rsidRPr="00200FAC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BE5C11A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182DDDB6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6C21EA7" w14:textId="1A5AB111" w:rsidR="00A94813" w:rsidRDefault="00B756C3" w:rsidP="00871A92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7A827" w14:textId="77777777" w:rsidR="00871A92" w:rsidRPr="00871A92" w:rsidRDefault="00871A92" w:rsidP="00871A92">
            <w:pPr>
              <w:ind w:left="963" w:right="635" w:firstLine="396"/>
              <w:jc w:val="center"/>
              <w:rPr>
                <w:szCs w:val="28"/>
              </w:rPr>
            </w:pPr>
          </w:p>
          <w:p w14:paraId="1E8F3480" w14:textId="77777777" w:rsidR="00F43613" w:rsidRDefault="00A42583" w:rsidP="002362B2">
            <w:pPr>
              <w:pStyle w:val="Heading3"/>
              <w:ind w:left="798" w:hanging="141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  <w:r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Oral Heal</w:t>
            </w:r>
            <w:r w:rsidR="009C2474"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th</w:t>
            </w: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E0ECD" w14:paraId="3FD8F2F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FDF2D48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fldChar w:fldCharType="begin"/>
                  </w:r>
                  <w:r>
                    <w:rPr>
                      <w:rFonts w:ascii="Arial" w:hAnsi="Arial" w:cs="Arial"/>
                      <w:lang w:val="en-US"/>
                    </w:rPr>
                    <w:instrText>HYPERLINK "https://mandrillapp.com/track/click/30822343/www.businessinsider.com?p=eyJzIjoidDVwVFlhbTdDd2x4Wll1RWRWaXVaWVZET21JIiwidiI6MSwicCI6IntcInVcIjozMDgyMjM0MyxcInZcIjoxLFwidXJsXCI6XCJodHRwczpcXFwvXFxcL3d3dy5idXNpbmVzc2luc2lkZXIuY29tXFxcL3doYXQteW91LXNob3VsZC1rbm93LWFib3V0LXRlZXRoLXdoaXRlbmluZy1iZWZvcmUteW91LXRyeS1pdC1hdC1ob21lLTIwMTgtOVwiLFwiaWRcIjpcImQ4NGEzNTVjNDdhNzQ1MjRiYTI4ZTJkMTBmY2JmZmI1XCIsXCJ1cmxfaWRzXCI6W1wiODk3YjY1ZmU4OGQyYWI5NGUyMTJlNmE3N2ZhZWM5Y2MxYmI0NWQyMlwiXX0ifQ"</w:instrText>
                  </w:r>
                  <w:r>
                    <w:rPr>
                      <w:rFonts w:ascii="Arial" w:hAnsi="Arial" w:cs="Arial"/>
                      <w:lang w:val="en-US"/>
                    </w:rPr>
                  </w:r>
                  <w:r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What you should know about teeth whitening before you try it at home</w:t>
                  </w:r>
                  <w:r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  <w:tr w:rsidR="000E0ECD" w14:paraId="2E6106B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0ED65A4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www.businessinsider.com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9th, 2018</w:t>
                  </w:r>
                </w:p>
              </w:tc>
            </w:tr>
            <w:tr w:rsidR="000E0ECD" w14:paraId="1D74C3F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B4C6969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6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38DA7CE" w14:textId="77777777" w:rsidR="000E0ECD" w:rsidRDefault="000E0ECD" w:rsidP="000E0ECD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E0ECD" w14:paraId="0A8067B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C6B469B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7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An Underutilized Treatment Modality in the Dental Industry Low Level Laser Therapy</w:t>
                    </w:r>
                  </w:hyperlink>
                </w:p>
              </w:tc>
            </w:tr>
            <w:tr w:rsidR="000E0ECD" w14:paraId="3E12C74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B170B20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9th, 2018</w:t>
                  </w:r>
                </w:p>
              </w:tc>
            </w:tr>
            <w:tr w:rsidR="000E0ECD" w14:paraId="2B92E07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174DEC3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8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CBA185C" w14:textId="77777777" w:rsidR="000E0ECD" w:rsidRDefault="000E0ECD" w:rsidP="000E0ECD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E0ECD" w14:paraId="6393F67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A45672D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9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Laser Treatment of Benign Vascular Lesion: A Clinical Case Report</w:t>
                    </w:r>
                  </w:hyperlink>
                </w:p>
              </w:tc>
            </w:tr>
            <w:tr w:rsidR="000E0ECD" w14:paraId="61732C2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E627018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10th, 2018</w:t>
                  </w:r>
                </w:p>
              </w:tc>
            </w:tr>
            <w:tr w:rsidR="000E0ECD" w14:paraId="10A4342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A718912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0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671BA5A" w14:textId="77777777" w:rsidR="000E0ECD" w:rsidRDefault="000E0ECD" w:rsidP="000E0ECD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E0ECD" w14:paraId="21A76B6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406BDAD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1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Peri-Implantitis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Solea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CO2 Laser: Clinical Case Report</w:t>
                    </w:r>
                  </w:hyperlink>
                </w:p>
              </w:tc>
            </w:tr>
            <w:tr w:rsidR="000E0ECD" w14:paraId="16629A4C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ED0ABFB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9th, 2018</w:t>
                  </w:r>
                </w:p>
              </w:tc>
            </w:tr>
            <w:tr w:rsidR="000E0ECD" w14:paraId="4C26595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FC60E7A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2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63EB546" w14:textId="77777777" w:rsidR="000E0ECD" w:rsidRDefault="000E0ECD" w:rsidP="000E0ECD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E0ECD" w14:paraId="19A6263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5EBD27A1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3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The Role of Erbium and Diode Laser System in the Treatment of Oral Frenula and Its Contribution to Breastfeeding</w:t>
                    </w:r>
                  </w:hyperlink>
                </w:p>
              </w:tc>
            </w:tr>
            <w:tr w:rsidR="000E0ECD" w14:paraId="4BCFD684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61557A3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9th, 2018</w:t>
                  </w:r>
                </w:p>
              </w:tc>
            </w:tr>
            <w:tr w:rsidR="000E0ECD" w14:paraId="6E07ACB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F6558AC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4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77956B9" w14:textId="77777777" w:rsidR="000E0ECD" w:rsidRDefault="000E0ECD" w:rsidP="000E0ECD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E0ECD" w14:paraId="4B1B8E2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500CF3F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5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Major opioid maker to pay for overdose-antidote development</w:t>
                    </w:r>
                  </w:hyperlink>
                </w:p>
              </w:tc>
            </w:tr>
            <w:tr w:rsidR="000E0ECD" w14:paraId="603F2BF7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B289DEB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www.ctvnews.ca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9th, 2018</w:t>
                  </w:r>
                </w:p>
              </w:tc>
            </w:tr>
            <w:tr w:rsidR="000E0ECD" w14:paraId="3134075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2869CA3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6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40B2EDD" w14:textId="77777777" w:rsidR="000E0ECD" w:rsidRDefault="000E0ECD" w:rsidP="000E0ECD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0E0ECD" w14:paraId="38F3A59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C1190FB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7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Federal government grants $71.7 million to fight B.C.’s opioid crisis</w:t>
                    </w:r>
                  </w:hyperlink>
                </w:p>
              </w:tc>
            </w:tr>
            <w:tr w:rsidR="000E0ECD" w14:paraId="03F8C35A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624FC87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globalnews.ca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7th, 2018</w:t>
                  </w:r>
                </w:p>
              </w:tc>
            </w:tr>
            <w:tr w:rsidR="000E0ECD" w14:paraId="1BF8DDE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96B145B" w14:textId="77777777" w:rsidR="000E0ECD" w:rsidRDefault="000E0ECD" w:rsidP="000E0ECD">
                  <w:pPr>
                    <w:widowControl w:val="0"/>
                    <w:autoSpaceDE w:val="0"/>
                    <w:autoSpaceDN w:val="0"/>
                    <w:adjustRightInd w:val="0"/>
                    <w:ind w:left="515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8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F8D274B" w14:textId="76DDD2B6" w:rsidR="00686132" w:rsidRPr="00F43613" w:rsidRDefault="00B0720D" w:rsidP="00F43613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  <w:r>
              <w:rPr>
                <w:rFonts w:eastAsia="Times New Roman"/>
                <w:szCs w:val="20"/>
              </w:rPr>
              <w:tab/>
            </w: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383784">
        <w:trPr>
          <w:trHeight w:val="15433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2419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  <w:gridCol w:w="779"/>
            </w:tblGrid>
            <w:tr w:rsidR="00A42583" w14:paraId="484C25A2" w14:textId="77777777" w:rsidTr="002362B2">
              <w:trPr>
                <w:gridAfter w:val="1"/>
                <w:wAfter w:w="779" w:type="dxa"/>
                <w:trHeight w:val="3508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33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3157DB23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  <w:t xml:space="preserve">   </w:t>
                        </w:r>
                      </w:p>
                    </w:tc>
                  </w:tr>
                </w:tbl>
                <w:p w14:paraId="49CCC327" w14:textId="5A181640" w:rsidR="00383784" w:rsidRDefault="002362B2" w:rsidP="002362B2">
                  <w:pPr>
                    <w:pStyle w:val="Default"/>
                    <w:ind w:left="832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262626"/>
                      <w:sz w:val="28"/>
                      <w:szCs w:val="32"/>
                      <w:lang w:eastAsia="en-US"/>
                    </w:rPr>
                    <w:drawing>
                      <wp:inline distT="0" distB="0" distL="0" distR="0" wp14:anchorId="691A7921" wp14:editId="4F0B1C28">
                        <wp:extent cx="994724" cy="82172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uto.png"/>
                                <pic:cNvPicPr/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8198" cy="824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53"/>
                    <w:gridCol w:w="7571"/>
                  </w:tblGrid>
                  <w:tr w:rsidR="00383784" w14:paraId="1F75B7EF" w14:textId="77777777" w:rsidTr="003837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7571" w:type="dxa"/>
                      <w:trHeight w:val="410"/>
                    </w:trPr>
                    <w:tc>
                      <w:tcPr>
                        <w:tcW w:w="3853" w:type="dxa"/>
                        <w:tcMar>
                          <w:top w:w="100" w:type="nil"/>
                          <w:right w:w="100" w:type="nil"/>
                        </w:tcMar>
                      </w:tcPr>
                      <w:p w14:paraId="5C893A47" w14:textId="77777777" w:rsidR="00383784" w:rsidRDefault="00383784" w:rsidP="003837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4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Students - Car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nsurance </w:t>
                        </w:r>
                      </w:p>
                      <w:p w14:paraId="178DADF9" w14:textId="77777777" w:rsidR="002362B2" w:rsidRDefault="002362B2" w:rsidP="003837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4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1F411956" w14:textId="0CA2CC6D" w:rsidR="002362B2" w:rsidRDefault="002362B2" w:rsidP="003837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4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383784" w14:paraId="23E06740" w14:textId="77777777" w:rsidTr="003837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424" w:type="dxa"/>
                        <w:gridSpan w:val="2"/>
                        <w:tcMar>
                          <w:top w:w="100" w:type="nil"/>
                          <w:right w:w="100" w:type="nil"/>
                        </w:tcMar>
                      </w:tcPr>
                      <w:p w14:paraId="561CA485" w14:textId="5930972C" w:rsidR="00383784" w:rsidRDefault="00383784" w:rsidP="003837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4"/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Shopping for car insurance and understanding your coverage options can be overwhelming. Affinity program partner TD Insurance helps simplify the process and find coverage that fits your needs. #ad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► </w:t>
                        </w:r>
                        <w:hyperlink r:id="rId42" w:history="1">
                          <w:r w:rsidRPr="00383784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https://go.td.com/2pGHnGx</w:t>
                          </w:r>
                        </w:hyperlink>
                      </w:p>
                    </w:tc>
                  </w:tr>
                </w:tbl>
                <w:p w14:paraId="72E5C010" w14:textId="77777777" w:rsidR="00383784" w:rsidRDefault="00383784" w:rsidP="0038378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23"/>
                    <w:gridCol w:w="6501"/>
                  </w:tblGrid>
                  <w:tr w:rsidR="00383784" w14:paraId="70F27A57" w14:textId="77777777" w:rsidTr="003837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6501" w:type="dxa"/>
                      <w:trHeight w:val="685"/>
                    </w:trPr>
                    <w:tc>
                      <w:tcPr>
                        <w:tcW w:w="4923" w:type="dxa"/>
                        <w:tcMar>
                          <w:top w:w="100" w:type="nil"/>
                          <w:right w:w="100" w:type="nil"/>
                        </w:tcMar>
                      </w:tcPr>
                      <w:p w14:paraId="5214544A" w14:textId="614B3C5C" w:rsidR="00383784" w:rsidRDefault="00383784" w:rsidP="003837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4"/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Étudiants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– Assurance automobile </w:t>
                        </w:r>
                      </w:p>
                    </w:tc>
                  </w:tr>
                  <w:tr w:rsidR="00383784" w14:paraId="0E418B4D" w14:textId="77777777" w:rsidTr="003837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424" w:type="dxa"/>
                        <w:gridSpan w:val="2"/>
                        <w:tcMar>
                          <w:top w:w="100" w:type="nil"/>
                          <w:right w:w="100" w:type="nil"/>
                        </w:tcMar>
                      </w:tcPr>
                      <w:p w14:paraId="4DF36A4B" w14:textId="610D8C47" w:rsidR="00383784" w:rsidRDefault="00383784" w:rsidP="003837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4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Essayer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trouver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une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assurance auto et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comprendre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les options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peut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sembler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une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lourde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tâche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. Notre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partenaire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d’affinité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, TD Assurance,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contribue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à simplifier le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processus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vous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aide à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trouver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la protection qui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vous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convient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. #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publicité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► </w:t>
                        </w:r>
                        <w:hyperlink r:id="rId43" w:history="1">
                          <w:r w:rsidRPr="00383784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https://go.td.com/2oFLfaF</w:t>
                          </w:r>
                        </w:hyperlink>
                      </w:p>
                    </w:tc>
                  </w:tr>
                </w:tbl>
                <w:p w14:paraId="7ED318BE" w14:textId="4855F82C" w:rsidR="006B0D10" w:rsidRPr="009C2474" w:rsidRDefault="006B0D10" w:rsidP="009A4D5F">
                  <w:pPr>
                    <w:pStyle w:val="Default"/>
                    <w:ind w:left="988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A4285" w:rsidRPr="00350DB5" w14:paraId="33B3BA6A" w14:textId="77777777" w:rsidTr="002362B2">
              <w:trPr>
                <w:gridAfter w:val="1"/>
                <w:wAfter w:w="779" w:type="dxa"/>
                <w:trHeight w:val="447"/>
              </w:trPr>
              <w:tc>
                <w:tcPr>
                  <w:tcW w:w="11640" w:type="dxa"/>
                </w:tcPr>
                <w:p w14:paraId="50C86ABD" w14:textId="436DE1B0" w:rsidR="00BA4285" w:rsidRPr="00A94813" w:rsidRDefault="00BA4285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Cs w:val="26"/>
                      <w:lang w:val="en-US" w:eastAsia="en-US"/>
                    </w:rPr>
                  </w:pPr>
                </w:p>
              </w:tc>
            </w:tr>
            <w:tr w:rsidR="00686132" w:rsidRPr="00F26E29" w14:paraId="0F5EB97B" w14:textId="77777777" w:rsidTr="002362B2">
              <w:trPr>
                <w:gridAfter w:val="1"/>
                <w:wAfter w:w="779" w:type="dxa"/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402CBD16" w14:textId="1EAD5E15" w:rsidR="00686132" w:rsidRPr="00A9481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Cs w:val="26"/>
                      <w:lang w:val="en-US"/>
                    </w:rPr>
                  </w:pPr>
                </w:p>
              </w:tc>
            </w:tr>
            <w:tr w:rsidR="00F26E29" w:rsidRPr="00350DB5" w14:paraId="47F36003" w14:textId="77777777" w:rsidTr="002362B2">
              <w:trPr>
                <w:trHeight w:val="727"/>
              </w:trPr>
              <w:tc>
                <w:tcPr>
                  <w:tcW w:w="12419" w:type="dxa"/>
                  <w:gridSpan w:val="2"/>
                  <w:tcMar>
                    <w:top w:w="100" w:type="nil"/>
                    <w:right w:w="100" w:type="nil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383784">
                    <w:trPr>
                      <w:trHeight w:val="517"/>
                    </w:trPr>
                    <w:tc>
                      <w:tcPr>
                        <w:tcW w:w="12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78A69611" w14:textId="52F15889" w:rsidR="00E75A5B" w:rsidRDefault="00E75A5B">
      <w:pPr>
        <w:rPr>
          <w:sz w:val="22"/>
          <w:szCs w:val="22"/>
        </w:rPr>
      </w:pPr>
    </w:p>
    <w:sectPr w:rsidR="00E75A5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41B4D"/>
    <w:rsid w:val="00043274"/>
    <w:rsid w:val="000A3F34"/>
    <w:rsid w:val="000A604C"/>
    <w:rsid w:val="000B5880"/>
    <w:rsid w:val="000C7718"/>
    <w:rsid w:val="000E0ECD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362B2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83784"/>
    <w:rsid w:val="003A25A1"/>
    <w:rsid w:val="003A27C1"/>
    <w:rsid w:val="003B29E8"/>
    <w:rsid w:val="003B7D2D"/>
    <w:rsid w:val="003C6750"/>
    <w:rsid w:val="003E7695"/>
    <w:rsid w:val="00431E8B"/>
    <w:rsid w:val="004425D2"/>
    <w:rsid w:val="0046012D"/>
    <w:rsid w:val="004735BA"/>
    <w:rsid w:val="00486AAF"/>
    <w:rsid w:val="00494A02"/>
    <w:rsid w:val="004A1670"/>
    <w:rsid w:val="004B04C7"/>
    <w:rsid w:val="004B46E6"/>
    <w:rsid w:val="004E12AA"/>
    <w:rsid w:val="004F3D9B"/>
    <w:rsid w:val="0053085A"/>
    <w:rsid w:val="005334E6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C12A2"/>
    <w:rsid w:val="006C1B5D"/>
    <w:rsid w:val="006C630F"/>
    <w:rsid w:val="006E26F9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D789B"/>
    <w:rsid w:val="0082207B"/>
    <w:rsid w:val="008347C7"/>
    <w:rsid w:val="00857E5E"/>
    <w:rsid w:val="00870924"/>
    <w:rsid w:val="00871A92"/>
    <w:rsid w:val="00886F70"/>
    <w:rsid w:val="00892BB9"/>
    <w:rsid w:val="0089722A"/>
    <w:rsid w:val="008A4A1A"/>
    <w:rsid w:val="008B0EB6"/>
    <w:rsid w:val="008B2544"/>
    <w:rsid w:val="008B2A9A"/>
    <w:rsid w:val="008D06AE"/>
    <w:rsid w:val="008E16EE"/>
    <w:rsid w:val="008E4048"/>
    <w:rsid w:val="008E5F26"/>
    <w:rsid w:val="008F494D"/>
    <w:rsid w:val="008F5C82"/>
    <w:rsid w:val="00906FBD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A4D5F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800EC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51B2"/>
    <w:rsid w:val="00B73B31"/>
    <w:rsid w:val="00B756C3"/>
    <w:rsid w:val="00B81D2F"/>
    <w:rsid w:val="00BA26D9"/>
    <w:rsid w:val="00BA4285"/>
    <w:rsid w:val="00BA47F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5A5B"/>
    <w:rsid w:val="00E933CA"/>
    <w:rsid w:val="00E93896"/>
    <w:rsid w:val="00ED28D3"/>
    <w:rsid w:val="00EE14D8"/>
    <w:rsid w:val="00F0197C"/>
    <w:rsid w:val="00F2598E"/>
    <w:rsid w:val="00F26E29"/>
    <w:rsid w:val="00F3507F"/>
    <w:rsid w:val="00F43613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F4361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8.tiff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mailto:info@cdaa.ca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image" Target="media/image4.png"/><Relationship Id="rId26" Type="http://schemas.openxmlformats.org/officeDocument/2006/relationships/hyperlink" Target="https://mandrillapp.com/track/click/30822343/www.businessinsider.com?p=eyJzIjoidDVwVFlhbTdDd2x4Wll1RWRWaXVaWVZET21JIiwidiI6MSwicCI6IntcInVcIjozMDgyMjM0MyxcInZcIjoxLFwidXJsXCI6XCJodHRwczpcXFwvXFxcL3d3dy5idXNpbmVzc2luc2lkZXIuY29tXFxcL3doYXQteW91LXNob3VsZC1rbm93LWFib3V0LXRlZXRoLXdoaXRlbmluZy1iZWZvcmUteW91LXRyeS1pdC1hdC1ob21lLTIwMTgtOVwiLFwiaWRcIjpcImQ4NGEzNTVjNDdhNzQ1MjRiYTI4ZTJkMTBmY2JmZmI1XCIsXCJ1cmxfaWRzXCI6W1wiODk3YjY1ZmU4OGQyYWI5NGUyMTJlNmE3N2ZhZWM5Y2MxYmI0NWQyMlwiXX0ifQ" TargetMode="External"/><Relationship Id="rId27" Type="http://schemas.openxmlformats.org/officeDocument/2006/relationships/hyperlink" Target="https://mandrillapp.com/track/click/30822343/www.oralhealthgroup.com?p=eyJzIjoiVWJFbW5SS1pkYkEyaURBZVRfS3gtYTc4NjVnIiwidiI6MSwicCI6IntcInVcIjozMDgyMjM0MyxcInZcIjoxLFwidXJsXCI6XCJodHRwczpcXFwvXFxcL3d3dy5vcmFsaGVhbHRoZ3JvdXAuY29tXFxcL2ZlYXR1cmVzXFxcL2FuLXVuZGVydXRpbGl6ZWQtdHJlYXRtZW50LW1vZGFsaXR5LWluLXRoZS1kZW50YWwtaW5kdXN0cnktbG93LWxldmVsLWxhc2VyLXRoZXJhcHlcXFwvXCIsXCJpZFwiOlwiZDg0YTM1NWM0N2E3NDUyNGJhMjhlMmQxMGZjYmZmYjVcIixcInVybF9pZHNcIjpbXCI2MzRlN2FmNmQ0OWFmOGI1NzJkNGM4YWRmZGQxMmU4MTMzZWY4MjhjXCJdfSJ9" TargetMode="External"/><Relationship Id="rId28" Type="http://schemas.openxmlformats.org/officeDocument/2006/relationships/hyperlink" Target="https://mandrillapp.com/track/click/30822343/www.oralhealthgroup.com?p=eyJzIjoiVWJFbW5SS1pkYkEyaURBZVRfS3gtYTc4NjVnIiwidiI6MSwicCI6IntcInVcIjozMDgyMjM0MyxcInZcIjoxLFwidXJsXCI6XCJodHRwczpcXFwvXFxcL3d3dy5vcmFsaGVhbHRoZ3JvdXAuY29tXFxcL2ZlYXR1cmVzXFxcL2FuLXVuZGVydXRpbGl6ZWQtdHJlYXRtZW50LW1vZGFsaXR5LWluLXRoZS1kZW50YWwtaW5kdXN0cnktbG93LWxldmVsLWxhc2VyLXRoZXJhcHlcXFwvXCIsXCJpZFwiOlwiZDg0YTM1NWM0N2E3NDUyNGJhMjhlMmQxMGZjYmZmYjVcIixcInVybF9pZHNcIjpbXCI2MzRlN2FmNmQ0OWFmOGI1NzJkNGM4YWRmZGQxMmU4MTMzZWY4MjhjXCJdfSJ9" TargetMode="External"/><Relationship Id="rId29" Type="http://schemas.openxmlformats.org/officeDocument/2006/relationships/hyperlink" Target="https://mandrillapp.com/track/click/30822343/www.oralhealthgroup.com?p=eyJzIjoiMWtKMVJ6elJaYXF0YndFd2pRX0ZiQkxfb2ZNIiwidiI6MSwicCI6IntcInVcIjozMDgyMjM0MyxcInZcIjoxLFwidXJsXCI6XCJodHRwczpcXFwvXFxcL3d3dy5vcmFsaGVhbHRoZ3JvdXAuY29tXFxcL2ZlYXR1cmVzXFxcL2xhc2VyLXRyZWF0bWVudC1vZi1iZW5pZ24tdmFzY3VsYXItbGVzaW9uLWEtY2xpbmljYWwtY2FzZS1yZXBvcnRcXFwvXCIsXCJpZFwiOlwiZDg0YTM1NWM0N2E3NDUyNGJhMjhlMmQxMGZjYmZmYjVcIixcInVybF9pZHNcIjpbXCI0YjIwYWNmZjczZjE3MTNhYWZjZDA3MDVlODVhZGViYzljNDdkZDg5XCJdfSJ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oralhealthgroup.com?p=eyJzIjoiMWtKMVJ6elJaYXF0YndFd2pRX0ZiQkxfb2ZNIiwidiI6MSwicCI6IntcInVcIjozMDgyMjM0MyxcInZcIjoxLFwidXJsXCI6XCJodHRwczpcXFwvXFxcL3d3dy5vcmFsaGVhbHRoZ3JvdXAuY29tXFxcL2ZlYXR1cmVzXFxcL2xhc2VyLXRyZWF0bWVudC1vZi1iZW5pZ24tdmFzY3VsYXItbGVzaW9uLWEtY2xpbmljYWwtY2FzZS1yZXBvcnRcXFwvXCIsXCJpZFwiOlwiZDg0YTM1NWM0N2E3NDUyNGJhMjhlMmQxMGZjYmZmYjVcIixcInVybF9pZHNcIjpbXCI0YjIwYWNmZjczZjE3MTNhYWZjZDA3MDVlODVhZGViYzljNDdkZDg5XCJdfSJ9" TargetMode="External"/><Relationship Id="rId31" Type="http://schemas.openxmlformats.org/officeDocument/2006/relationships/hyperlink" Target="https://mandrillapp.com/track/click/30822343/www.oralhealthgroup.com?p=eyJzIjoia0t2Z3dWcXRnZDhBbXFQa2pobHdPd3dTdllJIiwidiI6MSwicCI6IntcInVcIjozMDgyMjM0MyxcInZcIjoxLFwidXJsXCI6XCJodHRwczpcXFwvXFxcL3d3dy5vcmFsaGVhbHRoZ3JvdXAuY29tXFxcL2ZlYXR1cmVzXFxcL3BlcmktaW1wbGFudGl0aXMtc29sZWEtY28yLWxhc2VyLWNsaW5pY2FsLWNhc2UtcmVwb3J0XFxcL1wiLFwiaWRcIjpcImQ4NGEzNTVjNDdhNzQ1MjRiYTI4ZTJkMTBmY2JmZmI1XCIsXCJ1cmxfaWRzXCI6W1wiODdhOWEwYzFiZWEzNDZmMTM3MjJhYzc5ZDg5MmI2ZWNhM2I0NWJhNlwiXX0ifQ" TargetMode="External"/><Relationship Id="rId32" Type="http://schemas.openxmlformats.org/officeDocument/2006/relationships/hyperlink" Target="https://mandrillapp.com/track/click/30822343/www.oralhealthgroup.com?p=eyJzIjoia0t2Z3dWcXRnZDhBbXFQa2pobHdPd3dTdllJIiwidiI6MSwicCI6IntcInVcIjozMDgyMjM0MyxcInZcIjoxLFwidXJsXCI6XCJodHRwczpcXFwvXFxcL3d3dy5vcmFsaGVhbHRoZ3JvdXAuY29tXFxcL2ZlYXR1cmVzXFxcL3BlcmktaW1wbGFudGl0aXMtc29sZWEtY28yLWxhc2VyLWNsaW5pY2FsLWNhc2UtcmVwb3J0XFxcL1wiLFwiaWRcIjpcImQ4NGEzNTVjNDdhNzQ1MjRiYTI4ZTJkMTBmY2JmZmI1XCIsXCJ1cmxfaWRzXCI6W1wiODdhOWEwYzFiZWEzNDZmMTM3MjJhYzc5ZDg5MmI2ZWNhM2I0NWJhNlwiXX0ifQ" TargetMode="External"/><Relationship Id="rId9" Type="http://schemas.openxmlformats.org/officeDocument/2006/relationships/hyperlink" Target="https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oralhealthgroup.com?p=eyJzIjoiY1RyQWN5X2RLRDZuYTBiWkZFZUszOUJtNURBIiwidiI6MSwicCI6IntcInVcIjozMDgyMjM0MyxcInZcIjoxLFwidXJsXCI6XCJodHRwczpcXFwvXFxcL3d3dy5vcmFsaGVhbHRoZ3JvdXAuY29tXFxcL2ZlYXR1cmVzXFxcL3RoZS1yb2xlLW9mLWVyYml1bS1hbmQtZGlvZGUtbGFzZXItc3lzdGVtLWluLXRoZS10cmVhdG1lbnQtb2Ytb3JhbC1mcmVudWxhLWFuZC1pdHMtY29udHJpYnV0aW9uLXRvLWJyZWFzdGZlZWRpbmdcXFwvXCIsXCJpZFwiOlwiZDg0YTM1NWM0N2E3NDUyNGJhMjhlMmQxMGZjYmZmYjVcIixcInVybF9pZHNcIjpbXCI2ODlhNjAwMWE1N2FkYjgzYzQ2YzFkMWU5MDJiYWNlOWU0NjdmMmZkXCJdfSJ9" TargetMode="External"/><Relationship Id="rId34" Type="http://schemas.openxmlformats.org/officeDocument/2006/relationships/hyperlink" Target="https://mandrillapp.com/track/click/30822343/www.oralhealthgroup.com?p=eyJzIjoiY1RyQWN5X2RLRDZuYTBiWkZFZUszOUJtNURBIiwidiI6MSwicCI6IntcInVcIjozMDgyMjM0MyxcInZcIjoxLFwidXJsXCI6XCJodHRwczpcXFwvXFxcL3d3dy5vcmFsaGVhbHRoZ3JvdXAuY29tXFxcL2ZlYXR1cmVzXFxcL3RoZS1yb2xlLW9mLWVyYml1bS1hbmQtZGlvZGUtbGFzZXItc3lzdGVtLWluLXRoZS10cmVhdG1lbnQtb2Ytb3JhbC1mcmVudWxhLWFuZC1pdHMtY29udHJpYnV0aW9uLXRvLWJyZWFzdGZlZWRpbmdcXFwvXCIsXCJpZFwiOlwiZDg0YTM1NWM0N2E3NDUyNGJhMjhlMmQxMGZjYmZmYjVcIixcInVybF9pZHNcIjpbXCI2ODlhNjAwMWE1N2FkYjgzYzQ2YzFkMWU5MDJiYWNlOWU0NjdmMmZkXCJdfSJ9" TargetMode="External"/><Relationship Id="rId35" Type="http://schemas.openxmlformats.org/officeDocument/2006/relationships/hyperlink" Target="https://mandrillapp.com/track/click/30822343/www.ctvnews.ca?p=eyJzIjoiVjV2QVB4cEU0bnVmOThJWmJyX21EZ1A1VEZNIiwidiI6MSwicCI6IntcInVcIjozMDgyMjM0MyxcInZcIjoxLFwidXJsXCI6XCJodHRwczpcXFwvXFxcL3d3dy5jdHZuZXdzLmNhXFxcL2hlYWx0aFxcXC9tYWpvci1vcGlvaWQtbWFrZXItdG8tcGF5LWZvci1vdmVyZG9zZS1hbnRpZG90ZS1kZXZlbG9wbWVudC0xLjQwODA5NTJcIixcImlkXCI6XCJkODRhMzU1YzQ3YTc0NTI0YmEyOGUyZDEwZmNiZmZiNVwiLFwidXJsX2lkc1wiOltcIjJjNjgyOTFjOTE3ZmQ0ODMwM2EwNzNiNjJmNDg4ZGU2NTRmZjAwYjhcIl19In0" TargetMode="External"/><Relationship Id="rId36" Type="http://schemas.openxmlformats.org/officeDocument/2006/relationships/hyperlink" Target="https://mandrillapp.com/track/click/30822343/www.ctvnews.ca?p=eyJzIjoiVjV2QVB4cEU0bnVmOThJWmJyX21EZ1A1VEZNIiwidiI6MSwicCI6IntcInVcIjozMDgyMjM0MyxcInZcIjoxLFwidXJsXCI6XCJodHRwczpcXFwvXFxcL3d3dy5jdHZuZXdzLmNhXFxcL2hlYWx0aFxcXC9tYWpvci1vcGlvaWQtbWFrZXItdG8tcGF5LWZvci1vdmVyZG9zZS1hbnRpZG90ZS1kZXZlbG9wbWVudC0xLjQwODA5NTJcIixcImlkXCI6XCJkODRhMzU1YzQ3YTc0NTI0YmEyOGUyZDEwZmNiZmZiNVwiLFwidXJsX2lkc1wiOltcIjJjNjgyOTFjOTE3ZmQ0ODMwM2EwNzNiNjJmNDg4ZGU2NTRmZjAwYjhcIl19In0" TargetMode="External"/><Relationship Id="rId10" Type="http://schemas.openxmlformats.org/officeDocument/2006/relationships/hyperlink" Target="https://scrubscanada.ca/en/5-brands" TargetMode="External"/><Relationship Id="rId11" Type="http://schemas.openxmlformats.org/officeDocument/2006/relationships/hyperlink" Target="https://scrubscanada.ca/en/10-lab-coats" TargetMode="External"/><Relationship Id="rId12" Type="http://schemas.openxmlformats.org/officeDocument/2006/relationships/hyperlink" Target="https://scrubscanada.ca/en/116-dansko" TargetMode="External"/><Relationship Id="rId13" Type="http://schemas.openxmlformats.org/officeDocument/2006/relationships/hyperlink" Target="https://scrubscanada.ca/en/207-wonderwinks" TargetMode="External"/><Relationship Id="rId14" Type="http://schemas.openxmlformats.org/officeDocument/2006/relationships/hyperlink" Target="https://scrubscanada.ca/en/45-mobb" TargetMode="External"/><Relationship Id="rId15" Type="http://schemas.openxmlformats.org/officeDocument/2006/relationships/hyperlink" Target="https://scrubscanada.ca/en/42-healing-hands" TargetMode="External"/><Relationship Id="rId16" Type="http://schemas.openxmlformats.org/officeDocument/2006/relationships/hyperlink" Target="https://scrubscanada.ca/en/86-maevn" TargetMode="External"/><Relationship Id="rId17" Type="http://schemas.openxmlformats.org/officeDocument/2006/relationships/hyperlink" Target="https://scrubscanada.ca/en/258-zoe-chloe" TargetMode="External"/><Relationship Id="rId18" Type="http://schemas.openxmlformats.org/officeDocument/2006/relationships/hyperlink" Target="https://scrubscanada.ca/en/128-koi" TargetMode="External"/><Relationship Id="rId19" Type="http://schemas.openxmlformats.org/officeDocument/2006/relationships/image" Target="media/image3.gif"/><Relationship Id="rId37" Type="http://schemas.openxmlformats.org/officeDocument/2006/relationships/hyperlink" Target="https://mandrillapp.com/track/click/30822343/globalnews.ca?p=eyJzIjoiWGI1Qk9KclZubTV0b2Y2WmVxYXpoOUZtNUVVIiwidiI6MSwicCI6IntcInVcIjozMDgyMjM0MyxcInZcIjoxLFwidXJsXCI6XCJodHRwczpcXFwvXFxcL2dsb2JhbG5ld3MuY2FcXFwvbmV3c1xcXC80NDMwODkwXFxcL29waW9pZC1jcmlzaXMtaGVhbHRoLW1pbmlzdGVyXFxcL1wiLFwiaWRcIjpcImQ4NGEzNTVjNDdhNzQ1MjRiYTI4ZTJkMTBmY2JmZmI1XCIsXCJ1cmxfaWRzXCI6W1wiOWIzZmNjY2I5ZDA1OWNkOWNmYjQ0NGZlZmJjMTU2ZGViOWUzM2UxY1wiXX0ifQ" TargetMode="External"/><Relationship Id="rId38" Type="http://schemas.openxmlformats.org/officeDocument/2006/relationships/hyperlink" Target="https://mandrillapp.com/track/click/30822343/globalnews.ca?p=eyJzIjoiWGI1Qk9KclZubTV0b2Y2WmVxYXpoOUZtNUVVIiwidiI6MSwicCI6IntcInVcIjozMDgyMjM0MyxcInZcIjoxLFwidXJsXCI6XCJodHRwczpcXFwvXFxcL2dsb2JhbG5ld3MuY2FcXFwvbmV3c1xcXC80NDMwODkwXFxcL29waW9pZC1jcmlzaXMtaGVhbHRoLW1pbmlzdGVyXFxcL1wiLFwiaWRcIjpcImQ4NGEzNTVjNDdhNzQ1MjRiYTI4ZTJkMTBmY2JmZmI1XCIsXCJ1cmxfaWRzXCI6W1wiOWIzZmNjY2I5ZDA1OWNkOWNmYjQ0NGZlZmJjMTU2ZGViOWUzM2UxY1wiXX0ifQ" TargetMode="External"/><Relationship Id="rId39" Type="http://schemas.openxmlformats.org/officeDocument/2006/relationships/hyperlink" Target="http://www.tdinsurance.com/" TargetMode="External"/><Relationship Id="rId40" Type="http://schemas.openxmlformats.org/officeDocument/2006/relationships/image" Target="media/image5.png"/><Relationship Id="rId41" Type="http://schemas.openxmlformats.org/officeDocument/2006/relationships/image" Target="media/image6.png"/><Relationship Id="rId42" Type="http://schemas.openxmlformats.org/officeDocument/2006/relationships/hyperlink" Target="https://go.td.com/2pGHnGx" TargetMode="External"/><Relationship Id="rId43" Type="http://schemas.openxmlformats.org/officeDocument/2006/relationships/hyperlink" Target="https://go.td.com/2oFLfaF" TargetMode="External"/><Relationship Id="rId44" Type="http://schemas.openxmlformats.org/officeDocument/2006/relationships/hyperlink" Target="https://www.tdinsurance.com/" TargetMode="External"/><Relationship Id="rId45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F4C81-E22B-8648-A6B2-64B2E0E4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1655</Words>
  <Characters>9438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6</cp:revision>
  <cp:lastPrinted>2013-05-21T15:23:00Z</cp:lastPrinted>
  <dcterms:created xsi:type="dcterms:W3CDTF">2018-09-13T14:26:00Z</dcterms:created>
  <dcterms:modified xsi:type="dcterms:W3CDTF">2018-09-13T14:48:00Z</dcterms:modified>
</cp:coreProperties>
</file>